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仿宋"/>
          <w:color w:val="000000"/>
          <w:sz w:val="36"/>
          <w:szCs w:val="30"/>
        </w:rPr>
      </w:pPr>
      <w:r>
        <w:rPr>
          <w:rFonts w:hint="eastAsia" w:ascii="黑体" w:hAnsi="黑体" w:eastAsia="黑体" w:cs="黑体"/>
          <w:bCs/>
          <w:color w:val="000000"/>
          <w:sz w:val="32"/>
          <w:szCs w:val="30"/>
        </w:rPr>
        <w:t>附件</w:t>
      </w:r>
      <w:r>
        <w:rPr>
          <w:rFonts w:hint="eastAsia" w:ascii="黑体" w:hAnsi="黑体" w:eastAsia="黑体" w:cs="黑体"/>
          <w:bCs/>
          <w:color w:val="000000"/>
          <w:sz w:val="32"/>
          <w:szCs w:val="30"/>
          <w:lang w:val="en-US" w:eastAsia="zh-CN"/>
        </w:rPr>
        <w:t>1</w:t>
      </w:r>
      <w:r>
        <w:rPr>
          <w:rFonts w:eastAsia="仿宋"/>
          <w:b/>
          <w:color w:val="000000"/>
          <w:sz w:val="40"/>
          <w:szCs w:val="30"/>
        </w:rPr>
        <w:t xml:space="preserve"> </w:t>
      </w:r>
      <w:r>
        <w:rPr>
          <w:rFonts w:eastAsia="仿宋"/>
          <w:color w:val="000000"/>
          <w:sz w:val="36"/>
          <w:szCs w:val="30"/>
        </w:rPr>
        <w:t xml:space="preserve">             </w:t>
      </w:r>
    </w:p>
    <w:p>
      <w:pPr>
        <w:adjustRightInd w:val="0"/>
        <w:snapToGrid w:val="0"/>
        <w:spacing w:after="156" w:afterLines="50" w:line="500" w:lineRule="exact"/>
        <w:jc w:val="center"/>
        <w:rPr>
          <w:rFonts w:eastAsia="黑体"/>
          <w:b/>
          <w:color w:val="000000"/>
          <w:sz w:val="36"/>
          <w:szCs w:val="30"/>
        </w:rPr>
      </w:pPr>
      <w:bookmarkStart w:id="3" w:name="_GoBack"/>
      <w:r>
        <w:rPr>
          <w:rFonts w:eastAsia="黑体"/>
          <w:b/>
          <w:color w:val="000000"/>
          <w:sz w:val="36"/>
          <w:szCs w:val="30"/>
        </w:rPr>
        <w:t>高等学校实验室安全检查项目表（2023</w:t>
      </w:r>
      <w:r>
        <w:rPr>
          <w:rFonts w:hint="eastAsia" w:eastAsia="黑体"/>
          <w:b/>
          <w:color w:val="000000"/>
          <w:sz w:val="36"/>
          <w:szCs w:val="30"/>
        </w:rPr>
        <w:t>年</w:t>
      </w:r>
      <w:r>
        <w:rPr>
          <w:rFonts w:eastAsia="黑体"/>
          <w:b/>
          <w:color w:val="000000"/>
          <w:sz w:val="36"/>
          <w:szCs w:val="30"/>
        </w:rPr>
        <w:t>）</w:t>
      </w:r>
    </w:p>
    <w:bookmarkEnd w:id="3"/>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noWrap w:val="0"/>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noWrap w:val="0"/>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检查项目</w:t>
            </w:r>
          </w:p>
        </w:tc>
        <w:tc>
          <w:tcPr>
            <w:tcW w:w="7660" w:type="dxa"/>
            <w:noWrap w:val="0"/>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检查要点</w:t>
            </w:r>
          </w:p>
        </w:tc>
        <w:tc>
          <w:tcPr>
            <w:tcW w:w="2543" w:type="dxa"/>
            <w:noWrap w:val="0"/>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1.1.1</w:t>
            </w:r>
          </w:p>
        </w:tc>
        <w:tc>
          <w:tcPr>
            <w:tcW w:w="3820" w:type="dxa"/>
            <w:noWrap w:val="0"/>
            <w:tcMar>
              <w:left w:w="45" w:type="dxa"/>
              <w:right w:w="45" w:type="dxa"/>
            </w:tcMar>
            <w:vAlign w:val="center"/>
          </w:tcPr>
          <w:p>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1.1.2</w:t>
            </w:r>
          </w:p>
        </w:tc>
        <w:tc>
          <w:tcPr>
            <w:tcW w:w="3820" w:type="dxa"/>
            <w:noWrap w:val="0"/>
            <w:tcMar>
              <w:left w:w="45" w:type="dxa"/>
              <w:right w:w="45" w:type="dxa"/>
            </w:tcMar>
            <w:vAlign w:val="center"/>
          </w:tcPr>
          <w:p>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有明确的实验室安全管理职能部门</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1.1.4</w:t>
            </w:r>
          </w:p>
        </w:tc>
        <w:tc>
          <w:tcPr>
            <w:tcW w:w="3820" w:type="dxa"/>
            <w:noWrap w:val="0"/>
            <w:tcMar>
              <w:left w:w="45" w:type="dxa"/>
              <w:right w:w="45" w:type="dxa"/>
            </w:tcMar>
            <w:vAlign w:val="center"/>
          </w:tcPr>
          <w:p>
            <w:pPr>
              <w:rPr>
                <w:rFonts w:eastAsia="仿宋"/>
                <w:kern w:val="0"/>
                <w:szCs w:val="21"/>
              </w:rPr>
            </w:pPr>
            <w:r>
              <w:rPr>
                <w:rFonts w:eastAsia="仿宋"/>
                <w:kern w:val="0"/>
                <w:szCs w:val="21"/>
              </w:rPr>
              <w:t>学校与院系签订实验室安全责任书</w:t>
            </w:r>
          </w:p>
        </w:tc>
        <w:tc>
          <w:tcPr>
            <w:tcW w:w="7660" w:type="dxa"/>
            <w:noWrap w:val="0"/>
            <w:tcMar>
              <w:left w:w="45" w:type="dxa"/>
              <w:right w:w="45" w:type="dxa"/>
            </w:tcMar>
            <w:vAlign w:val="center"/>
          </w:tcPr>
          <w:p>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1.2.1</w:t>
            </w:r>
          </w:p>
        </w:tc>
        <w:tc>
          <w:tcPr>
            <w:tcW w:w="382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有院系实验室安全工作队伍</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院系安全工作队伍由党政负责人、分管实验室安全领导、院系实验室安全助理或安全主管、实验室负责人、实验室安全员等共同组成。</w:t>
            </w:r>
          </w:p>
          <w:p>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1.2.2</w:t>
            </w:r>
          </w:p>
        </w:tc>
        <w:tc>
          <w:tcPr>
            <w:tcW w:w="382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1.3</w:t>
            </w:r>
          </w:p>
        </w:tc>
        <w:tc>
          <w:tcPr>
            <w:tcW w:w="14023" w:type="dxa"/>
            <w:gridSpan w:val="3"/>
            <w:noWrap w:val="0"/>
            <w:tcMar>
              <w:left w:w="45" w:type="dxa"/>
              <w:right w:w="45" w:type="dxa"/>
            </w:tcMar>
            <w:vAlign w:val="center"/>
          </w:tcPr>
          <w:p>
            <w:pPr>
              <w:widowControl/>
              <w:spacing w:line="300" w:lineRule="exact"/>
              <w:rPr>
                <w:rFonts w:eastAsia="仿宋"/>
                <w:bCs/>
                <w:kern w:val="0"/>
                <w:szCs w:val="21"/>
              </w:rPr>
            </w:pPr>
            <w:r>
              <w:rPr>
                <w:rFonts w:hint="eastAsia" w:eastAsia="仿宋"/>
                <w:b/>
                <w:kern w:val="0"/>
                <w:szCs w:val="21"/>
              </w:rPr>
              <w:t>实验室层面安全责任体系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实验室签订实验室安全责任书</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1.4</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hint="eastAsia" w:eastAsia="仿宋"/>
                <w:b/>
                <w:kern w:val="0"/>
                <w:szCs w:val="21"/>
              </w:rPr>
              <w:t>安全工作奖惩机制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1.4.1</w:t>
            </w:r>
          </w:p>
        </w:tc>
        <w:tc>
          <w:tcPr>
            <w:tcW w:w="382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奖惩机制落实到岗位或个人</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（10）是否有明确的奖惩管理办法，以及实际执行情况。</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（11）检查事故调查执行情况。</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1.5</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学校每年有实验室安全常规经费预算</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1.5.2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1.5.3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bCs/>
                <w:kern w:val="0"/>
                <w:szCs w:val="21"/>
              </w:rPr>
              <w:t>（14）院系有支出凭据证明有专款用于实验室安全工作</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1.6</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1.6.1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noWrap w:val="0"/>
            <w:tcMar>
              <w:left w:w="45" w:type="dxa"/>
              <w:right w:w="45" w:type="dxa"/>
            </w:tcMar>
            <w:vAlign w:val="center"/>
          </w:tcPr>
          <w:p>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1.6.2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1.6.3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（18）有培训记录（证书、电子文档、书面记录）等证明培训及合格情况</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1.7</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1.7.1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采用信息化手段管理实验室安全</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（19）学校建设信息管理等系统用于实验室安全管理</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1.7.2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建立实验室安全工作档案</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2.1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2.1.1</w:t>
            </w:r>
          </w:p>
        </w:tc>
        <w:tc>
          <w:tcPr>
            <w:tcW w:w="382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noWrap w:val="0"/>
            <w:tcMar>
              <w:left w:w="45" w:type="dxa"/>
              <w:right w:w="45" w:type="dxa"/>
            </w:tcMar>
            <w:vAlign w:val="center"/>
          </w:tcPr>
          <w:p>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，内容包括上位法依据、实验室范围、安全管理原则、组织架构、责任体系、奖惩、事故处理、责任与追究、安全文化等要素</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2.2</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hint="eastAsia" w:eastAsia="仿宋"/>
                <w:b/>
                <w:bCs/>
                <w:kern w:val="0"/>
                <w:szCs w:val="21"/>
              </w:rPr>
              <w:t>实验室安全管理办法或细则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2.2.1</w:t>
            </w:r>
          </w:p>
        </w:tc>
        <w:tc>
          <w:tcPr>
            <w:tcW w:w="382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noWrap w:val="0"/>
            <w:tcMar>
              <w:left w:w="45" w:type="dxa"/>
              <w:right w:w="45" w:type="dxa"/>
            </w:tcMar>
            <w:vAlign w:val="center"/>
          </w:tcPr>
          <w:p>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依据危险源情况制定实验室分类分级、准入管理、安全检查，以及各类安全等二级管理办法，文件应具有可操作性或实际管理效用，及时修订更新，并正式发文。</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2.3</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hint="eastAsia" w:eastAsia="仿宋"/>
                <w:b/>
                <w:bCs/>
                <w:kern w:val="0"/>
                <w:szCs w:val="21"/>
              </w:rPr>
              <w:t>安全应急制度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2.3.1</w:t>
            </w:r>
          </w:p>
        </w:tc>
        <w:tc>
          <w:tcPr>
            <w:tcW w:w="382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noWrap w:val="0"/>
            <w:tcMar>
              <w:left w:w="45" w:type="dxa"/>
              <w:right w:w="45" w:type="dxa"/>
            </w:tcMar>
            <w:vAlign w:val="center"/>
          </w:tcPr>
          <w:p>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noWrap w:val="0"/>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3</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3.1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3.1.1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开设实验室安全必修课或选修课</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r>
              <w:rPr>
                <w:rFonts w:hint="eastAsia" w:eastAsia="仿宋"/>
                <w:bCs/>
                <w:kern w:val="0"/>
                <w:szCs w:val="21"/>
              </w:rPr>
              <w:t>。</w:t>
            </w:r>
          </w:p>
        </w:tc>
        <w:tc>
          <w:tcPr>
            <w:tcW w:w="2543" w:type="dxa"/>
            <w:noWrap w:val="0"/>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3.1.2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开展安全教育培训活动</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3.1.3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开展结合学科特点的应急演练</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bCs/>
                <w:kern w:val="0"/>
                <w:szCs w:val="21"/>
              </w:rPr>
              <w:t>（27）有实验室安全事故应急演练</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3.1.4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组织实验室安全知识考试</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r>
              <w:rPr>
                <w:rFonts w:hint="eastAsia" w:eastAsia="仿宋"/>
                <w:kern w:val="0"/>
                <w:szCs w:val="21"/>
              </w:rPr>
              <w:t>。</w:t>
            </w:r>
          </w:p>
        </w:tc>
        <w:tc>
          <w:tcPr>
            <w:tcW w:w="2543" w:type="dxa"/>
            <w:noWrap w:val="0"/>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3.2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3.2.1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建设有学校特色的安全文化</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3.2.2</w:t>
            </w:r>
          </w:p>
        </w:tc>
        <w:tc>
          <w:tcPr>
            <w:tcW w:w="382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建立实验室安全隐患举报制度</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noWrap w:val="0"/>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4</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hint="eastAsia" w:eastAsia="仿宋"/>
                <w:b/>
                <w:kern w:val="0"/>
                <w:szCs w:val="21"/>
              </w:rPr>
              <w:t>安全准入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4.1</w:t>
            </w:r>
          </w:p>
        </w:tc>
        <w:tc>
          <w:tcPr>
            <w:tcW w:w="11480" w:type="dxa"/>
            <w:gridSpan w:val="2"/>
            <w:noWrap w:val="0"/>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项目安全准入</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4.2</w:t>
            </w:r>
          </w:p>
        </w:tc>
        <w:tc>
          <w:tcPr>
            <w:tcW w:w="11480" w:type="dxa"/>
            <w:gridSpan w:val="2"/>
            <w:noWrap w:val="0"/>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人员安全准入</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4.3</w:t>
            </w:r>
          </w:p>
        </w:tc>
        <w:tc>
          <w:tcPr>
            <w:tcW w:w="11480" w:type="dxa"/>
            <w:gridSpan w:val="2"/>
            <w:noWrap w:val="0"/>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安全风险分析</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5</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5.1</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5.1.1</w:t>
            </w:r>
          </w:p>
        </w:tc>
        <w:tc>
          <w:tcPr>
            <w:tcW w:w="382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包括单位、房间、类别、数量、责任人等信息</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5.1.2</w:t>
            </w:r>
          </w:p>
        </w:tc>
        <w:tc>
          <w:tcPr>
            <w:tcW w:w="382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5.1.3</w:t>
            </w:r>
          </w:p>
        </w:tc>
        <w:tc>
          <w:tcPr>
            <w:tcW w:w="382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建立针对重要危险源的风险评估和</w:t>
            </w:r>
            <w:r>
              <w:rPr>
                <w:rFonts w:hint="eastAsia" w:eastAsia="仿宋"/>
                <w:bCs/>
                <w:kern w:val="0"/>
                <w:szCs w:val="21"/>
              </w:rPr>
              <w:t>应急预案</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（38）建立风险分级管控方案</w:t>
            </w:r>
            <w:r>
              <w:rPr>
                <w:rFonts w:hint="eastAsia" w:eastAsia="仿宋"/>
                <w:bCs/>
                <w:kern w:val="0"/>
                <w:szCs w:val="21"/>
              </w:rPr>
              <w:t>。</w:t>
            </w:r>
          </w:p>
          <w:p>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5.2</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5.2.1</w:t>
            </w:r>
          </w:p>
        </w:tc>
        <w:tc>
          <w:tcPr>
            <w:tcW w:w="3820" w:type="dxa"/>
            <w:noWrap w:val="0"/>
            <w:tcMar>
              <w:left w:w="45" w:type="dxa"/>
              <w:right w:w="45" w:type="dxa"/>
            </w:tcMar>
            <w:vAlign w:val="center"/>
          </w:tcPr>
          <w:p>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）学校层面检查每年不少于4次，院系层面每月不少于1次，实验室应经常检查。安全检查及整改都应保存记录。</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5.2.2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noWrap w:val="0"/>
            <w:tcMar>
              <w:left w:w="45" w:type="dxa"/>
              <w:right w:w="45" w:type="dxa"/>
            </w:tcMar>
            <w:vAlign w:val="center"/>
          </w:tcPr>
          <w:p>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5.2.3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r>
              <w:rPr>
                <w:rFonts w:hint="eastAsia" w:eastAsia="仿宋"/>
                <w:szCs w:val="21"/>
              </w:rPr>
              <w:t>。</w:t>
            </w:r>
          </w:p>
        </w:tc>
        <w:tc>
          <w:tcPr>
            <w:tcW w:w="2543" w:type="dxa"/>
            <w:noWrap w:val="0"/>
            <w:tcMar>
              <w:left w:w="45" w:type="dxa"/>
              <w:right w:w="45" w:type="dxa"/>
            </w:tcMar>
            <w:vAlign w:val="center"/>
          </w:tcPr>
          <w:p>
            <w:pPr>
              <w:widowControl/>
              <w:spacing w:line="3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5.3</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5.3.1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5.3.2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5.4</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5.4.1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6</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6.1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szCs w:val="21"/>
              </w:rPr>
            </w:pPr>
            <w:r>
              <w:rPr>
                <w:rFonts w:eastAsia="仿宋"/>
                <w:szCs w:val="21"/>
              </w:rPr>
              <w:t>6.1.1</w:t>
            </w:r>
          </w:p>
        </w:tc>
        <w:tc>
          <w:tcPr>
            <w:tcW w:w="3820" w:type="dxa"/>
            <w:noWrap w:val="0"/>
            <w:tcMar>
              <w:left w:w="45" w:type="dxa"/>
              <w:right w:w="45" w:type="dxa"/>
            </w:tcMar>
            <w:vAlign w:val="center"/>
          </w:tcPr>
          <w:p>
            <w:pPr>
              <w:widowControl/>
              <w:spacing w:line="300" w:lineRule="exact"/>
              <w:rPr>
                <w:rFonts w:eastAsia="仿宋"/>
                <w:szCs w:val="21"/>
              </w:rPr>
            </w:pPr>
            <w:r>
              <w:rPr>
                <w:rFonts w:eastAsia="仿宋"/>
                <w:szCs w:val="21"/>
              </w:rPr>
              <w:t>实验场所应张贴安全信息牌</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szCs w:val="21"/>
              </w:rPr>
              <w:t>（47）每个房间门口挂有安全信息牌，信息包括：安全风险点的警示标识、安全责任人、涉及危险类别、防护措施和有效的应急联系电话等，并及时更新</w:t>
            </w:r>
            <w:r>
              <w:rPr>
                <w:rFonts w:hint="eastAsia" w:eastAsia="仿宋"/>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szCs w:val="21"/>
              </w:rPr>
              <w:t>6.1.2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实验场所应具备合理的安全空间布局</w:t>
            </w:r>
          </w:p>
        </w:tc>
        <w:tc>
          <w:tcPr>
            <w:tcW w:w="7660" w:type="dxa"/>
            <w:noWrap w:val="0"/>
            <w:tcMar>
              <w:left w:w="45" w:type="dxa"/>
              <w:right w:w="45" w:type="dxa"/>
            </w:tcMar>
            <w:vAlign w:val="center"/>
          </w:tcPr>
          <w:p>
            <w:pPr>
              <w:widowControl/>
              <w:spacing w:line="300" w:lineRule="exact"/>
              <w:rPr>
                <w:rFonts w:eastAsia="仿宋"/>
                <w:szCs w:val="21"/>
              </w:rPr>
            </w:pPr>
            <w:r>
              <w:rPr>
                <w:rFonts w:eastAsia="仿宋"/>
                <w:szCs w:val="21"/>
              </w:rPr>
              <w:t>（48）超过200平方米的实验楼层具有至少两处</w:t>
            </w:r>
            <w:r>
              <w:rPr>
                <w:rFonts w:hint="eastAsia" w:eastAsia="仿宋"/>
                <w:szCs w:val="21"/>
              </w:rPr>
              <w:t>安全</w:t>
            </w:r>
            <w:r>
              <w:rPr>
                <w:rFonts w:eastAsia="仿宋"/>
                <w:szCs w:val="21"/>
              </w:rPr>
              <w:t>出口，75平方米以上实验室要有两个出入口</w:t>
            </w:r>
            <w:r>
              <w:rPr>
                <w:rFonts w:hint="eastAsia" w:eastAsia="仿宋"/>
                <w:szCs w:val="21"/>
              </w:rPr>
              <w:t>。</w:t>
            </w:r>
          </w:p>
          <w:p>
            <w:pPr>
              <w:widowControl/>
              <w:spacing w:line="300" w:lineRule="exact"/>
              <w:rPr>
                <w:rFonts w:eastAsia="仿宋"/>
                <w:szCs w:val="21"/>
              </w:rPr>
            </w:pPr>
            <w:r>
              <w:rPr>
                <w:rFonts w:eastAsia="仿宋"/>
                <w:szCs w:val="21"/>
              </w:rPr>
              <w:t>（49）实验楼大走廊保证留有大于1.5</w:t>
            </w:r>
            <w:r>
              <w:rPr>
                <w:rFonts w:hint="eastAsia" w:eastAsia="仿宋"/>
                <w:szCs w:val="21"/>
              </w:rPr>
              <w:t>米</w:t>
            </w:r>
            <w:r>
              <w:rPr>
                <w:rFonts w:eastAsia="仿宋"/>
                <w:szCs w:val="21"/>
              </w:rPr>
              <w:t>净宽的消防通道</w:t>
            </w:r>
            <w:r>
              <w:rPr>
                <w:rFonts w:hint="eastAsia" w:eastAsia="仿宋"/>
                <w:szCs w:val="21"/>
              </w:rPr>
              <w:t>。</w:t>
            </w:r>
          </w:p>
          <w:p>
            <w:pPr>
              <w:widowControl/>
              <w:spacing w:line="300" w:lineRule="exact"/>
              <w:rPr>
                <w:rFonts w:eastAsia="仿宋"/>
                <w:szCs w:val="21"/>
              </w:rPr>
            </w:pPr>
            <w:r>
              <w:rPr>
                <w:rFonts w:eastAsia="仿宋"/>
                <w:szCs w:val="21"/>
              </w:rPr>
              <w:t>（50）实验室操作区层高不低于2米</w:t>
            </w:r>
            <w:r>
              <w:rPr>
                <w:rFonts w:hint="eastAsia" w:eastAsia="仿宋"/>
                <w:szCs w:val="21"/>
              </w:rPr>
              <w:t>。</w:t>
            </w:r>
          </w:p>
          <w:p>
            <w:pPr>
              <w:widowControl/>
              <w:spacing w:line="300" w:lineRule="exact"/>
              <w:rPr>
                <w:rFonts w:eastAsia="仿宋"/>
                <w:bCs/>
                <w:kern w:val="0"/>
                <w:szCs w:val="21"/>
              </w:rPr>
            </w:pPr>
            <w:r>
              <w:rPr>
                <w:rFonts w:eastAsia="仿宋"/>
                <w:szCs w:val="21"/>
              </w:rPr>
              <w:t>（51）理工农医类实验室内多人同时进行实验时，人均操作面积不小于2.5平方米</w:t>
            </w:r>
            <w:r>
              <w:rPr>
                <w:rFonts w:hint="eastAsia" w:eastAsia="仿宋"/>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szCs w:val="21"/>
              </w:rPr>
              <w:t>6.1.3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实验室消防通道通畅，公共场所不堆放仪器和物品</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bCs/>
                <w:szCs w:val="21"/>
              </w:rPr>
              <w:t>（52）保持消防通道通畅</w:t>
            </w:r>
            <w:r>
              <w:rPr>
                <w:rFonts w:hint="eastAsia" w:eastAsia="仿宋"/>
                <w:bCs/>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szCs w:val="21"/>
              </w:rPr>
              <w:t>6.1.4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实验室建设和装修应符合消防安全要求</w:t>
            </w:r>
          </w:p>
        </w:tc>
        <w:tc>
          <w:tcPr>
            <w:tcW w:w="7660" w:type="dxa"/>
            <w:noWrap w:val="0"/>
            <w:tcMar>
              <w:left w:w="45" w:type="dxa"/>
              <w:right w:w="45" w:type="dxa"/>
            </w:tcMar>
            <w:vAlign w:val="center"/>
          </w:tcPr>
          <w:p>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pPr>
              <w:widowControl/>
              <w:spacing w:line="300" w:lineRule="exact"/>
              <w:rPr>
                <w:rFonts w:eastAsia="仿宋"/>
                <w:szCs w:val="21"/>
              </w:rPr>
            </w:pPr>
            <w:r>
              <w:rPr>
                <w:rFonts w:eastAsia="仿宋"/>
                <w:szCs w:val="21"/>
              </w:rPr>
              <w:t>（54）仪器设备安装符合建筑物承重</w:t>
            </w:r>
            <w:r>
              <w:rPr>
                <w:rFonts w:hint="eastAsia" w:eastAsia="仿宋"/>
                <w:szCs w:val="21"/>
              </w:rPr>
              <w:t>荷载。</w:t>
            </w:r>
          </w:p>
          <w:p>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pPr>
              <w:widowControl/>
              <w:spacing w:line="300" w:lineRule="exact"/>
              <w:rPr>
                <w:rFonts w:eastAsia="仿宋"/>
                <w:bCs/>
                <w:kern w:val="0"/>
                <w:szCs w:val="21"/>
              </w:rPr>
            </w:pPr>
            <w:r>
              <w:rPr>
                <w:rFonts w:eastAsia="仿宋"/>
                <w:szCs w:val="21"/>
              </w:rPr>
              <w:t>（57）实验室门上有观察窗，外开门不阻挡逃生路径</w:t>
            </w:r>
            <w:r>
              <w:rPr>
                <w:rFonts w:hint="eastAsia" w:eastAsia="仿宋"/>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szCs w:val="21"/>
              </w:rPr>
            </w:pPr>
            <w:r>
              <w:rPr>
                <w:rFonts w:eastAsia="仿宋"/>
                <w:szCs w:val="21"/>
              </w:rPr>
              <w:t>6.1.5</w:t>
            </w:r>
          </w:p>
        </w:tc>
        <w:tc>
          <w:tcPr>
            <w:tcW w:w="3820" w:type="dxa"/>
            <w:noWrap w:val="0"/>
            <w:tcMar>
              <w:left w:w="45" w:type="dxa"/>
              <w:right w:w="45" w:type="dxa"/>
            </w:tcMar>
            <w:vAlign w:val="center"/>
          </w:tcPr>
          <w:p>
            <w:pPr>
              <w:widowControl/>
              <w:spacing w:line="300" w:lineRule="exact"/>
              <w:rPr>
                <w:rFonts w:eastAsia="仿宋"/>
                <w:szCs w:val="21"/>
              </w:rPr>
            </w:pPr>
            <w:r>
              <w:rPr>
                <w:rFonts w:eastAsia="仿宋"/>
                <w:szCs w:val="21"/>
              </w:rPr>
              <w:t>实验室所有房间均须配有应急备用钥匙</w:t>
            </w:r>
          </w:p>
        </w:tc>
        <w:tc>
          <w:tcPr>
            <w:tcW w:w="7660" w:type="dxa"/>
            <w:noWrap w:val="0"/>
            <w:tcMar>
              <w:left w:w="45" w:type="dxa"/>
              <w:right w:w="45" w:type="dxa"/>
            </w:tcMar>
            <w:vAlign w:val="center"/>
          </w:tcPr>
          <w:p>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r>
              <w:rPr>
                <w:rFonts w:hint="eastAsia" w:eastAsia="仿宋"/>
                <w:szCs w:val="21"/>
              </w:rPr>
              <w:t>。</w:t>
            </w:r>
          </w:p>
        </w:tc>
        <w:tc>
          <w:tcPr>
            <w:tcW w:w="2543" w:type="dxa"/>
            <w:noWrap w:val="0"/>
            <w:tcMar>
              <w:left w:w="45" w:type="dxa"/>
              <w:right w:w="45" w:type="dxa"/>
            </w:tcMar>
            <w:vAlign w:val="center"/>
          </w:tcPr>
          <w:p>
            <w:pPr>
              <w:widowControl/>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szCs w:val="21"/>
              </w:rPr>
              <w:t>6.1.6</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noWrap w:val="0"/>
            <w:tcMar>
              <w:left w:w="45" w:type="dxa"/>
              <w:right w:w="45" w:type="dxa"/>
            </w:tcMar>
            <w:vAlign w:val="center"/>
          </w:tcPr>
          <w:p>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pPr>
              <w:widowControl/>
              <w:spacing w:line="300" w:lineRule="exact"/>
              <w:rPr>
                <w:rFonts w:eastAsia="仿宋"/>
                <w:bCs/>
                <w:kern w:val="0"/>
                <w:szCs w:val="21"/>
              </w:rPr>
            </w:pPr>
            <w:r>
              <w:rPr>
                <w:rFonts w:eastAsia="仿宋"/>
                <w:szCs w:val="21"/>
              </w:rPr>
              <w:t>（61）实验室噪声一般不高于55分贝（机械设备不高于70分贝）</w:t>
            </w:r>
            <w:r>
              <w:rPr>
                <w:rFonts w:hint="eastAsia" w:eastAsia="仿宋"/>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szCs w:val="21"/>
              </w:rPr>
              <w:t>6.1.7</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实验室水、电、气管线布局合理，安装施工规范</w:t>
            </w:r>
          </w:p>
        </w:tc>
        <w:tc>
          <w:tcPr>
            <w:tcW w:w="7660" w:type="dxa"/>
            <w:noWrap w:val="0"/>
            <w:tcMar>
              <w:left w:w="45" w:type="dxa"/>
              <w:right w:w="45" w:type="dxa"/>
            </w:tcMar>
            <w:vAlign w:val="center"/>
          </w:tcPr>
          <w:p>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noWrap w:val="0"/>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6.2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szCs w:val="21"/>
              </w:rPr>
              <w:t>6.2.1</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实验室分区应相对独立，布局合理</w:t>
            </w:r>
          </w:p>
        </w:tc>
        <w:tc>
          <w:tcPr>
            <w:tcW w:w="7660" w:type="dxa"/>
            <w:noWrap w:val="0"/>
            <w:tcMar>
              <w:left w:w="45" w:type="dxa"/>
              <w:right w:w="45" w:type="dxa"/>
            </w:tcMar>
            <w:vAlign w:val="center"/>
          </w:tcPr>
          <w:p>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noWrap w:val="0"/>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spacing w:line="300" w:lineRule="exact"/>
              <w:rPr>
                <w:rFonts w:eastAsia="仿宋"/>
                <w:szCs w:val="21"/>
              </w:rPr>
            </w:pPr>
            <w:r>
              <w:rPr>
                <w:rFonts w:eastAsia="仿宋"/>
                <w:szCs w:val="21"/>
              </w:rPr>
              <w:t>6.2.2</w:t>
            </w:r>
          </w:p>
        </w:tc>
        <w:tc>
          <w:tcPr>
            <w:tcW w:w="3820" w:type="dxa"/>
            <w:noWrap w:val="0"/>
            <w:tcMar>
              <w:left w:w="45" w:type="dxa"/>
              <w:right w:w="45" w:type="dxa"/>
            </w:tcMar>
            <w:vAlign w:val="center"/>
          </w:tcPr>
          <w:p>
            <w:pPr>
              <w:spacing w:line="300" w:lineRule="exact"/>
              <w:rPr>
                <w:rFonts w:eastAsia="仿宋"/>
                <w:szCs w:val="21"/>
              </w:rPr>
            </w:pPr>
            <w:r>
              <w:rPr>
                <w:rFonts w:eastAsia="仿宋"/>
                <w:bCs/>
                <w:szCs w:val="21"/>
              </w:rPr>
              <w:t>实验室环境应整洁卫生有序</w:t>
            </w:r>
          </w:p>
        </w:tc>
        <w:tc>
          <w:tcPr>
            <w:tcW w:w="7660" w:type="dxa"/>
            <w:noWrap w:val="0"/>
            <w:tcMar>
              <w:left w:w="45" w:type="dxa"/>
              <w:right w:w="45" w:type="dxa"/>
            </w:tcMar>
            <w:vAlign w:val="center"/>
          </w:tcPr>
          <w:p>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不在实验室睡觉，不存放和烧煮食物、饮食，禁止吸烟、不使用可燃性蚊香</w:t>
            </w:r>
            <w:r>
              <w:rPr>
                <w:rFonts w:hint="eastAsia" w:eastAsia="仿宋"/>
                <w:kern w:val="0"/>
                <w:szCs w:val="21"/>
              </w:rPr>
              <w:t>。</w:t>
            </w:r>
          </w:p>
        </w:tc>
        <w:tc>
          <w:tcPr>
            <w:tcW w:w="2543" w:type="dxa"/>
            <w:noWrap w:val="0"/>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spacing w:line="300" w:lineRule="exact"/>
              <w:rPr>
                <w:rFonts w:eastAsia="仿宋"/>
                <w:szCs w:val="21"/>
              </w:rPr>
            </w:pPr>
            <w:r>
              <w:rPr>
                <w:rFonts w:eastAsia="仿宋"/>
                <w:szCs w:val="21"/>
              </w:rPr>
              <w:t>6.2.3</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实验室有卫生安全制度</w:t>
            </w:r>
          </w:p>
        </w:tc>
        <w:tc>
          <w:tcPr>
            <w:tcW w:w="7660" w:type="dxa"/>
            <w:noWrap w:val="0"/>
            <w:tcMar>
              <w:left w:w="45" w:type="dxa"/>
              <w:right w:w="45" w:type="dxa"/>
            </w:tcMar>
            <w:vAlign w:val="center"/>
          </w:tcPr>
          <w:p>
            <w:pPr>
              <w:spacing w:line="300" w:lineRule="exact"/>
              <w:rPr>
                <w:rFonts w:eastAsia="仿宋"/>
                <w:bCs/>
                <w:szCs w:val="21"/>
              </w:rPr>
            </w:pPr>
            <w:r>
              <w:rPr>
                <w:rFonts w:eastAsia="仿宋"/>
                <w:kern w:val="0"/>
                <w:szCs w:val="21"/>
              </w:rPr>
              <w:t>（68）实验期间有记录</w:t>
            </w:r>
            <w:r>
              <w:rPr>
                <w:rFonts w:hint="eastAsia" w:eastAsia="仿宋"/>
                <w:kern w:val="0"/>
                <w:szCs w:val="21"/>
              </w:rPr>
              <w:t>。</w:t>
            </w:r>
          </w:p>
        </w:tc>
        <w:tc>
          <w:tcPr>
            <w:tcW w:w="2543" w:type="dxa"/>
            <w:noWrap w:val="0"/>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6.3</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szCs w:val="21"/>
              </w:rPr>
              <w:t>6.3.1</w:t>
            </w:r>
          </w:p>
        </w:tc>
        <w:tc>
          <w:tcPr>
            <w:tcW w:w="3820" w:type="dxa"/>
            <w:noWrap w:val="0"/>
            <w:tcMar>
              <w:left w:w="45" w:type="dxa"/>
              <w:right w:w="45" w:type="dxa"/>
            </w:tcMar>
            <w:vAlign w:val="center"/>
          </w:tcPr>
          <w:p>
            <w:pPr>
              <w:spacing w:line="300" w:lineRule="exact"/>
              <w:rPr>
                <w:rFonts w:eastAsia="仿宋"/>
                <w:szCs w:val="21"/>
              </w:rPr>
            </w:pPr>
            <w:r>
              <w:rPr>
                <w:rFonts w:eastAsia="仿宋"/>
              </w:rPr>
              <w:t>每间实验室均有编号并登记造册</w:t>
            </w:r>
          </w:p>
        </w:tc>
        <w:tc>
          <w:tcPr>
            <w:tcW w:w="7660" w:type="dxa"/>
            <w:noWrap w:val="0"/>
            <w:tcMar>
              <w:left w:w="45" w:type="dxa"/>
              <w:right w:w="45" w:type="dxa"/>
            </w:tcMar>
            <w:vAlign w:val="center"/>
          </w:tcPr>
          <w:p>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noWrap w:val="0"/>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spacing w:line="300" w:lineRule="exact"/>
              <w:rPr>
                <w:rFonts w:eastAsia="仿宋"/>
                <w:szCs w:val="21"/>
              </w:rPr>
            </w:pPr>
            <w:r>
              <w:rPr>
                <w:rFonts w:eastAsia="仿宋"/>
                <w:szCs w:val="21"/>
              </w:rPr>
              <w:t>6.3.2</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危险性实验室应配备急救物品</w:t>
            </w:r>
          </w:p>
        </w:tc>
        <w:tc>
          <w:tcPr>
            <w:tcW w:w="7660" w:type="dxa"/>
            <w:noWrap w:val="0"/>
            <w:tcMar>
              <w:left w:w="45" w:type="dxa"/>
              <w:right w:w="45" w:type="dxa"/>
            </w:tcMar>
            <w:vAlign w:val="center"/>
          </w:tcPr>
          <w:p>
            <w:pPr>
              <w:spacing w:line="300" w:lineRule="exact"/>
              <w:rPr>
                <w:rFonts w:eastAsia="仿宋"/>
                <w:bCs/>
                <w:szCs w:val="21"/>
              </w:rPr>
            </w:pPr>
            <w:r>
              <w:rPr>
                <w:rFonts w:eastAsia="仿宋"/>
                <w:szCs w:val="21"/>
              </w:rPr>
              <w:t>（70）配备的药箱</w:t>
            </w:r>
            <w:r>
              <w:rPr>
                <w:rFonts w:hint="eastAsia" w:eastAsia="仿宋"/>
                <w:szCs w:val="21"/>
              </w:rPr>
              <w:t>不得</w:t>
            </w:r>
            <w:r>
              <w:rPr>
                <w:rFonts w:eastAsia="仿宋"/>
                <w:szCs w:val="21"/>
              </w:rPr>
              <w:t>上锁，并定期检查药品是否在保质期内</w:t>
            </w:r>
            <w:r>
              <w:rPr>
                <w:rFonts w:hint="eastAsia" w:eastAsia="仿宋"/>
                <w:szCs w:val="21"/>
              </w:rPr>
              <w:t>。</w:t>
            </w:r>
          </w:p>
        </w:tc>
        <w:tc>
          <w:tcPr>
            <w:tcW w:w="2543" w:type="dxa"/>
            <w:noWrap w:val="0"/>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spacing w:line="300" w:lineRule="exact"/>
              <w:rPr>
                <w:rFonts w:eastAsia="仿宋"/>
                <w:szCs w:val="21"/>
              </w:rPr>
            </w:pPr>
            <w:r>
              <w:rPr>
                <w:rFonts w:eastAsia="仿宋"/>
                <w:szCs w:val="21"/>
              </w:rPr>
              <w:t>6.3.3</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停用的实验室有安全防范措施和明显标识</w:t>
            </w:r>
          </w:p>
        </w:tc>
        <w:tc>
          <w:tcPr>
            <w:tcW w:w="7660" w:type="dxa"/>
            <w:noWrap w:val="0"/>
            <w:tcMar>
              <w:left w:w="45" w:type="dxa"/>
              <w:right w:w="45" w:type="dxa"/>
            </w:tcMar>
            <w:vAlign w:val="center"/>
          </w:tcPr>
          <w:p>
            <w:pPr>
              <w:spacing w:line="300" w:lineRule="exact"/>
              <w:rPr>
                <w:rFonts w:eastAsia="仿宋"/>
                <w:bCs/>
                <w:szCs w:val="21"/>
              </w:rPr>
            </w:pPr>
            <w:r>
              <w:rPr>
                <w:rFonts w:eastAsia="仿宋"/>
                <w:bCs/>
                <w:szCs w:val="21"/>
              </w:rPr>
              <w:t>（71）查看现场</w:t>
            </w:r>
            <w:r>
              <w:rPr>
                <w:rFonts w:hint="eastAsia" w:eastAsia="仿宋"/>
                <w:bCs/>
                <w:szCs w:val="21"/>
              </w:rPr>
              <w:t>。</w:t>
            </w:r>
          </w:p>
        </w:tc>
        <w:tc>
          <w:tcPr>
            <w:tcW w:w="2543" w:type="dxa"/>
            <w:noWrap w:val="0"/>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7</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7.1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spacing w:line="300" w:lineRule="exact"/>
              <w:rPr>
                <w:rFonts w:eastAsia="仿宋"/>
                <w:szCs w:val="21"/>
              </w:rPr>
            </w:pPr>
            <w:r>
              <w:rPr>
                <w:rFonts w:eastAsia="仿宋"/>
                <w:szCs w:val="21"/>
              </w:rPr>
              <w:t>7.1.1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spacing w:line="300" w:lineRule="exact"/>
              <w:rPr>
                <w:rFonts w:eastAsia="仿宋"/>
                <w:szCs w:val="21"/>
              </w:rPr>
            </w:pPr>
            <w:r>
              <w:rPr>
                <w:rFonts w:eastAsia="仿宋"/>
                <w:szCs w:val="21"/>
              </w:rPr>
              <w:t>7.1.2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紧急逃生疏散路线通畅</w:t>
            </w:r>
          </w:p>
        </w:tc>
        <w:tc>
          <w:tcPr>
            <w:tcW w:w="7660" w:type="dxa"/>
            <w:noWrap w:val="0"/>
            <w:tcMar>
              <w:left w:w="45" w:type="dxa"/>
              <w:right w:w="45" w:type="dxa"/>
            </w:tcMar>
            <w:vAlign w:val="center"/>
          </w:tcPr>
          <w:p>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，并设置有效标识指示逃生方向</w:t>
            </w:r>
            <w:r>
              <w:rPr>
                <w:rFonts w:hint="eastAsia" w:eastAsia="仿宋"/>
                <w:kern w:val="0"/>
              </w:rPr>
              <w:t>。</w:t>
            </w:r>
          </w:p>
          <w:p>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7.2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7.2.1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kern w:val="0"/>
                <w:szCs w:val="21"/>
              </w:rPr>
              <w:t>（77）应急喷淋和洗眼装置的区域有显著标识</w:t>
            </w:r>
            <w:r>
              <w:rPr>
                <w:rFonts w:hint="eastAsia" w:eastAsia="仿宋"/>
                <w:kern w:val="0"/>
                <w:szCs w:val="21"/>
              </w:rPr>
              <w:t>。</w:t>
            </w:r>
          </w:p>
        </w:tc>
        <w:tc>
          <w:tcPr>
            <w:tcW w:w="2543" w:type="dxa"/>
            <w:noWrap w:val="0"/>
            <w:tcMar>
              <w:left w:w="45" w:type="dxa"/>
              <w:right w:w="45" w:type="dxa"/>
            </w:tcMar>
            <w:vAlign w:val="center"/>
          </w:tcPr>
          <w:p>
            <w:pPr>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7.2.2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（78）应急喷淋安装地点与工作区域之间畅通，距离不超过30米</w:t>
            </w:r>
            <w:r>
              <w:rPr>
                <w:rFonts w:hint="eastAsia" w:eastAsia="仿宋"/>
                <w:kern w:val="0"/>
                <w:szCs w:val="21"/>
              </w:rPr>
              <w:t>。</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定期对应急喷淋与洗眼装置进行维护</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kern w:val="0"/>
                <w:szCs w:val="21"/>
              </w:rPr>
              <w:t>（81）</w:t>
            </w:r>
            <w:r>
              <w:rPr>
                <w:rFonts w:hint="eastAsia" w:eastAsia="仿宋"/>
                <w:kern w:val="0"/>
                <w:szCs w:val="21"/>
              </w:rPr>
              <w:t>经常对应急喷淋与洗眼装置进行维护，无锈水脏水，有检查记录。</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7.3</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kern w:val="0"/>
                <w:szCs w:val="21"/>
              </w:rPr>
              <w:t>（82）管道风机</w:t>
            </w:r>
            <w:r>
              <w:rPr>
                <w:rFonts w:hint="eastAsia" w:eastAsia="仿宋"/>
                <w:kern w:val="0"/>
                <w:szCs w:val="21"/>
              </w:rPr>
              <w:t>须</w:t>
            </w:r>
            <w:r>
              <w:rPr>
                <w:rFonts w:eastAsia="仿宋"/>
                <w:kern w:val="0"/>
                <w:szCs w:val="21"/>
              </w:rPr>
              <w:t>防腐，使用可燃气体场所</w:t>
            </w:r>
            <w:r>
              <w:rPr>
                <w:rFonts w:hint="eastAsia" w:eastAsia="仿宋"/>
                <w:kern w:val="0"/>
                <w:szCs w:val="21"/>
              </w:rPr>
              <w:t>宜</w:t>
            </w:r>
            <w:r>
              <w:rPr>
                <w:rFonts w:eastAsia="仿宋"/>
                <w:kern w:val="0"/>
                <w:szCs w:val="21"/>
              </w:rPr>
              <w:t>采用防爆风机</w:t>
            </w:r>
            <w:r>
              <w:rPr>
                <w:rFonts w:hint="eastAsia" w:eastAsia="仿宋"/>
                <w:kern w:val="0"/>
                <w:szCs w:val="21"/>
              </w:rPr>
              <w:t>。</w:t>
            </w:r>
          </w:p>
          <w:p>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0.75米/秒，定期进行维护、检修</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（84）屋顶风机固定无松动、无异常噪声</w:t>
            </w:r>
            <w:r>
              <w:rPr>
                <w:rFonts w:hint="eastAsia" w:eastAsia="仿宋"/>
                <w:kern w:val="0"/>
                <w:szCs w:val="21"/>
              </w:rPr>
              <w:t>。</w:t>
            </w:r>
          </w:p>
        </w:tc>
        <w:tc>
          <w:tcPr>
            <w:tcW w:w="2543" w:type="dxa"/>
            <w:noWrap w:val="0"/>
            <w:tcMar>
              <w:left w:w="45" w:type="dxa"/>
              <w:right w:w="45" w:type="dxa"/>
            </w:tcMar>
            <w:vAlign w:val="center"/>
          </w:tcPr>
          <w:p>
            <w:pPr>
              <w:spacing w:line="300" w:lineRule="exac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通风柜配置合理、使用正常、操作合规</w:t>
            </w:r>
          </w:p>
        </w:tc>
        <w:tc>
          <w:tcPr>
            <w:tcW w:w="766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有害气体而导致个人曝露、或产生可燃、可爆炸气体或蒸汽而导致积聚的实验，都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rPr>
                <w:rFonts w:hint="eastAsia" w:eastAsia="仿宋"/>
                <w:kern w:val="0"/>
                <w:szCs w:val="21"/>
              </w:rPr>
              <w:t>-</w:t>
            </w:r>
            <w:r>
              <w:rPr>
                <w:rFonts w:eastAsia="仿宋"/>
                <w:kern w:val="0"/>
                <w:szCs w:val="21"/>
              </w:rPr>
              <w:t>15厘米，保持通风效果，并保护操作人员胸部以上部位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物品应距离调节门内侧15厘米</w:t>
            </w:r>
            <w:r>
              <w:rPr>
                <w:rFonts w:hint="eastAsia" w:eastAsia="仿宋"/>
                <w:kern w:val="0"/>
                <w:szCs w:val="21"/>
              </w:rPr>
              <w:t>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7.4</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7.4.1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szCs w:val="21"/>
              </w:rPr>
              <w:t>（88）关注重点场所，如剧毒品、病原微生物、放射源存放点、核材料等危险源的管理</w:t>
            </w:r>
            <w:r>
              <w:rPr>
                <w:rFonts w:hint="eastAsia" w:eastAsia="仿宋"/>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7.4.2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noWrap w:val="0"/>
            <w:tcMar>
              <w:left w:w="45" w:type="dxa"/>
              <w:right w:w="45" w:type="dxa"/>
            </w:tcMar>
            <w:vAlign w:val="center"/>
          </w:tcPr>
          <w:p>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7.5</w:t>
            </w:r>
          </w:p>
        </w:tc>
        <w:tc>
          <w:tcPr>
            <w:tcW w:w="14023" w:type="dxa"/>
            <w:gridSpan w:val="3"/>
            <w:noWrap w:val="0"/>
            <w:tcMar>
              <w:left w:w="45" w:type="dxa"/>
              <w:right w:w="45" w:type="dxa"/>
            </w:tcMar>
            <w:vAlign w:val="center"/>
          </w:tcPr>
          <w:p>
            <w:pPr>
              <w:widowControl/>
              <w:spacing w:line="300" w:lineRule="exact"/>
              <w:rPr>
                <w:rFonts w:eastAsia="仿宋"/>
                <w:b/>
                <w:szCs w:val="21"/>
              </w:rPr>
            </w:pPr>
            <w:r>
              <w:rPr>
                <w:rFonts w:eastAsia="仿宋"/>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7.5.1</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noWrap w:val="0"/>
            <w:tcMar>
              <w:left w:w="45" w:type="dxa"/>
              <w:right w:w="45" w:type="dxa"/>
            </w:tcMar>
            <w:vAlign w:val="center"/>
          </w:tcPr>
          <w:p>
            <w:pPr>
              <w:widowControl/>
              <w:spacing w:line="300" w:lineRule="exact"/>
              <w:rPr>
                <w:rFonts w:eastAsia="仿宋"/>
                <w:szCs w:val="21"/>
              </w:rPr>
            </w:pPr>
            <w:r>
              <w:rPr>
                <w:rFonts w:eastAsia="仿宋"/>
                <w:szCs w:val="21"/>
              </w:rPr>
              <w:t>（91）安装有防爆开关、防爆灯等，安装必要的气体报警系统、监控系统、应急系统等</w:t>
            </w:r>
            <w:r>
              <w:rPr>
                <w:rFonts w:hint="eastAsia" w:eastAsia="仿宋"/>
                <w:szCs w:val="21"/>
              </w:rPr>
              <w:t>。</w:t>
            </w:r>
          </w:p>
          <w:p>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noWrap w:val="0"/>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7.5.2</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应妥善防护具有爆炸危险性的仪器设备</w:t>
            </w:r>
          </w:p>
        </w:tc>
        <w:tc>
          <w:tcPr>
            <w:tcW w:w="7660" w:type="dxa"/>
            <w:noWrap w:val="0"/>
            <w:tcMar>
              <w:left w:w="45" w:type="dxa"/>
              <w:right w:w="45" w:type="dxa"/>
            </w:tcMar>
            <w:vAlign w:val="center"/>
          </w:tcPr>
          <w:p>
            <w:pPr>
              <w:widowControl/>
              <w:spacing w:line="300" w:lineRule="exact"/>
              <w:rPr>
                <w:rFonts w:eastAsia="仿宋"/>
                <w:bCs/>
                <w:kern w:val="0"/>
                <w:szCs w:val="21"/>
              </w:rPr>
            </w:pPr>
            <w:r>
              <w:rPr>
                <w:rFonts w:eastAsia="仿宋"/>
                <w:szCs w:val="21"/>
              </w:rPr>
              <w:t>（94）使用适合的安全罩防护</w:t>
            </w:r>
            <w:r>
              <w:rPr>
                <w:rFonts w:hint="eastAsia" w:eastAsia="仿宋"/>
                <w:szCs w:val="21"/>
              </w:rPr>
              <w:t>。</w:t>
            </w:r>
          </w:p>
        </w:tc>
        <w:tc>
          <w:tcPr>
            <w:tcW w:w="2543" w:type="dxa"/>
            <w:noWrap w:val="0"/>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8</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8.1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8.1.1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noWrap w:val="0"/>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不私自乱拉乱接电线电缆，禁止多个接线板串接供电，接线板不宜直接置于地面</w:t>
            </w:r>
            <w:r>
              <w:rPr>
                <w:rFonts w:hint="eastAsia" w:eastAsia="仿宋"/>
                <w:kern w:val="0"/>
                <w:szCs w:val="21"/>
              </w:rPr>
              <w:t>。</w:t>
            </w:r>
          </w:p>
          <w:p>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pPr>
              <w:rPr>
                <w:rFonts w:eastAsia="仿宋"/>
                <w:bCs/>
                <w:kern w:val="0"/>
                <w:szCs w:val="21"/>
              </w:rPr>
            </w:pPr>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8.1.2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给水、排水系统布置合理，运行正常</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8.2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个体防护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8.2.1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配备合适的个人防护用品</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07</w:t>
            </w:r>
            <w:r>
              <w:rPr>
                <w:rFonts w:hint="eastAsia" w:eastAsia="仿宋"/>
                <w:kern w:val="0"/>
                <w:szCs w:val="21"/>
              </w:rPr>
              <w:t>）</w:t>
            </w:r>
            <w:r>
              <w:rPr>
                <w:rFonts w:eastAsia="仿宋"/>
                <w:kern w:val="0"/>
                <w:szCs w:val="21"/>
              </w:rPr>
              <w:t>按需要佩戴防护眼镜、防护手套、安全帽、防护帽、呼吸器或面罩（呼吸器或面罩在有效期内，不用时须密封放置）等</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w:t>
            </w:r>
            <w:r>
              <w:rPr>
                <w:rFonts w:eastAsia="仿宋"/>
                <w:kern w:val="0"/>
                <w:szCs w:val="21"/>
              </w:rPr>
              <w:t>穿戴长围巾、丝巾、领带等</w:t>
            </w:r>
            <w:r>
              <w:rPr>
                <w:rFonts w:hint="eastAsia" w:eastAsia="仿宋"/>
                <w:kern w:val="0"/>
                <w:szCs w:val="21"/>
              </w:rPr>
              <w:t>，长发须盘在工作帽内。</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穿着化学、生物类实验服或戴实验手套，不得随意进入非实验区</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8.2.2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个人防护用品</w:t>
            </w:r>
            <w:r>
              <w:rPr>
                <w:rFonts w:hint="eastAsia" w:eastAsia="仿宋"/>
                <w:kern w:val="0"/>
                <w:szCs w:val="21"/>
              </w:rPr>
              <w:t>合理</w:t>
            </w:r>
            <w:r>
              <w:rPr>
                <w:rFonts w:eastAsia="仿宋"/>
                <w:kern w:val="0"/>
                <w:szCs w:val="21"/>
              </w:rPr>
              <w:t>存放，存放地点有明显标识</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11</w:t>
            </w:r>
            <w:r>
              <w:rPr>
                <w:rFonts w:hint="eastAsia" w:eastAsia="仿宋"/>
                <w:kern w:val="0"/>
                <w:szCs w:val="21"/>
              </w:rPr>
              <w:t>）在</w:t>
            </w:r>
            <w:r>
              <w:rPr>
                <w:rFonts w:eastAsia="仿宋"/>
                <w:kern w:val="0"/>
                <w:szCs w:val="21"/>
              </w:rPr>
              <w:t>紧急情况</w:t>
            </w:r>
            <w:r>
              <w:rPr>
                <w:rFonts w:hint="eastAsia" w:eastAsia="仿宋"/>
                <w:kern w:val="0"/>
                <w:szCs w:val="21"/>
              </w:rPr>
              <w:t>须</w:t>
            </w:r>
            <w:r>
              <w:rPr>
                <w:rFonts w:eastAsia="仿宋"/>
                <w:kern w:val="0"/>
                <w:szCs w:val="21"/>
              </w:rPr>
              <w:t>使用的个</w:t>
            </w:r>
            <w:r>
              <w:rPr>
                <w:rFonts w:hint="eastAsia" w:eastAsia="仿宋"/>
                <w:kern w:val="0"/>
                <w:szCs w:val="21"/>
              </w:rPr>
              <w:t>人</w:t>
            </w:r>
            <w:r>
              <w:rPr>
                <w:rFonts w:eastAsia="仿宋"/>
                <w:kern w:val="0"/>
                <w:szCs w:val="21"/>
              </w:rPr>
              <w:t>防护器具应分散存放在安全场所，以便于取用</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b/>
                <w:bCs/>
                <w:kern w:val="0"/>
                <w:szCs w:val="21"/>
              </w:rPr>
              <w:t>8.3</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8.3.2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实验台面整洁、实验记录规范</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9</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b/>
                <w:bCs/>
                <w:kern w:val="0"/>
                <w:szCs w:val="21"/>
              </w:rPr>
              <w:t>9.1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危险化学品储存区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9.1.1</w:t>
            </w:r>
          </w:p>
        </w:tc>
        <w:tc>
          <w:tcPr>
            <w:tcW w:w="382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须有通风、隔热、避光、防盗、防爆、防静电、泄露报警、应急喷淋、安全警示标识等措施，符合相关规定，专人管理</w:t>
            </w:r>
            <w:r>
              <w:rPr>
                <w:rFonts w:hint="eastAsia" w:eastAsia="仿宋"/>
                <w:kern w:val="0"/>
                <w:szCs w:val="21"/>
              </w:rPr>
              <w:t>。</w:t>
            </w:r>
          </w:p>
          <w:p>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储存区不能建设在地下或半地下，不得建设在实验楼内。若只能在实验楼内存放，则应按照实验室的标准要求（见</w:t>
            </w:r>
            <w:r>
              <w:rPr>
                <w:rFonts w:eastAsia="仿宋"/>
                <w:kern w:val="0"/>
                <w:szCs w:val="21"/>
              </w:rPr>
              <w:t>9.3</w:t>
            </w:r>
            <w:r>
              <w:rPr>
                <w:rFonts w:hint="eastAsia" w:eastAsia="仿宋"/>
                <w:kern w:val="0"/>
                <w:szCs w:val="21"/>
              </w:rPr>
              <w:t>实验室化学品的存放）。</w:t>
            </w:r>
          </w:p>
          <w:p>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整箱试剂的叠加高度不大于1.5米</w:t>
            </w:r>
            <w:r>
              <w:rPr>
                <w:rFonts w:hint="eastAsia" w:eastAsia="仿宋"/>
                <w:kern w:val="0"/>
                <w:szCs w:val="21"/>
              </w:rPr>
              <w:t>。</w:t>
            </w:r>
          </w:p>
        </w:tc>
        <w:tc>
          <w:tcPr>
            <w:tcW w:w="2543" w:type="dxa"/>
            <w:noWrap w:val="0"/>
            <w:tcMar>
              <w:left w:w="45" w:type="dxa"/>
              <w:right w:w="45" w:type="dxa"/>
            </w:tcMar>
            <w:vAlign w:val="center"/>
          </w:tcPr>
          <w:p>
            <w:pPr>
              <w:widowControl/>
              <w:spacing w:line="300" w:lineRule="exact"/>
              <w:jc w:val="lef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9.2</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9.2.1</w:t>
            </w:r>
          </w:p>
        </w:tc>
        <w:tc>
          <w:tcPr>
            <w:tcW w:w="3820" w:type="dxa"/>
            <w:noWrap w:val="0"/>
            <w:tcMar>
              <w:left w:w="45" w:type="dxa"/>
              <w:right w:w="45" w:type="dxa"/>
            </w:tcMar>
            <w:vAlign w:val="center"/>
          </w:tcPr>
          <w:p>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noWrap w:val="0"/>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向具有生产经营许可资质的单位进行购买，查看相关供应商的经营许可资质证书复印件</w:t>
            </w:r>
            <w:r>
              <w:rPr>
                <w:rFonts w:hint="eastAsia" w:eastAsia="仿宋"/>
                <w:kern w:val="0"/>
                <w:szCs w:val="21"/>
              </w:rPr>
              <w:t>。</w:t>
            </w:r>
          </w:p>
        </w:tc>
        <w:tc>
          <w:tcPr>
            <w:tcW w:w="2543" w:type="dxa"/>
            <w:noWrap w:val="0"/>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9.2.2</w:t>
            </w:r>
          </w:p>
        </w:tc>
        <w:tc>
          <w:tcPr>
            <w:tcW w:w="3820" w:type="dxa"/>
            <w:noWrap w:val="0"/>
            <w:tcMar>
              <w:left w:w="45" w:type="dxa"/>
              <w:right w:w="45" w:type="dxa"/>
            </w:tcMar>
            <w:vAlign w:val="center"/>
          </w:tcPr>
          <w:p>
            <w:pPr>
              <w:spacing w:line="300" w:lineRule="exact"/>
              <w:rPr>
                <w:rFonts w:eastAsia="仿宋"/>
                <w:kern w:val="0"/>
                <w:szCs w:val="21"/>
              </w:rPr>
            </w:pPr>
            <w:r>
              <w:rPr>
                <w:rFonts w:eastAsia="仿宋"/>
                <w:kern w:val="0"/>
                <w:szCs w:val="21"/>
              </w:rPr>
              <w:t>剧毒品、易制爆品、易制毒品、爆炸品的购买程序合规</w:t>
            </w:r>
          </w:p>
        </w:tc>
        <w:tc>
          <w:tcPr>
            <w:tcW w:w="7660" w:type="dxa"/>
            <w:noWrap w:val="0"/>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购买前须经学校审批，报公安部门批准或备案后，向具有经营许可资质的单位购买</w:t>
            </w:r>
            <w:r>
              <w:rPr>
                <w:rFonts w:hint="eastAsia" w:eastAsia="仿宋"/>
                <w:kern w:val="0"/>
                <w:szCs w:val="21"/>
              </w:rPr>
              <w:t>，并保留报批及审批记录。</w:t>
            </w:r>
          </w:p>
          <w:p>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9.2.3</w:t>
            </w:r>
          </w:p>
        </w:tc>
        <w:tc>
          <w:tcPr>
            <w:tcW w:w="3820" w:type="dxa"/>
            <w:noWrap w:val="0"/>
            <w:tcMar>
              <w:left w:w="45" w:type="dxa"/>
              <w:right w:w="45" w:type="dxa"/>
            </w:tcMar>
            <w:vAlign w:val="center"/>
          </w:tcPr>
          <w:p>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noWrap w:val="0"/>
            <w:tcMar>
              <w:left w:w="45" w:type="dxa"/>
              <w:right w:w="45" w:type="dxa"/>
            </w:tcMar>
            <w:vAlign w:val="center"/>
          </w:tcPr>
          <w:p>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9.2.4</w:t>
            </w:r>
          </w:p>
        </w:tc>
        <w:tc>
          <w:tcPr>
            <w:tcW w:w="3820" w:type="dxa"/>
            <w:noWrap w:val="0"/>
            <w:tcMar>
              <w:left w:w="45" w:type="dxa"/>
              <w:right w:w="45" w:type="dxa"/>
            </w:tcMar>
            <w:vAlign w:val="center"/>
          </w:tcPr>
          <w:p>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9.3</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9.3.1</w:t>
            </w:r>
          </w:p>
        </w:tc>
        <w:tc>
          <w:tcPr>
            <w:tcW w:w="3820" w:type="dxa"/>
            <w:noWrap w:val="0"/>
            <w:tcMar>
              <w:left w:w="45" w:type="dxa"/>
              <w:right w:w="45" w:type="dxa"/>
            </w:tcMar>
            <w:vAlign w:val="center"/>
          </w:tcPr>
          <w:p>
            <w:pPr>
              <w:widowControl/>
              <w:spacing w:line="300" w:lineRule="exact"/>
              <w:rPr>
                <w:rFonts w:eastAsia="仿宋"/>
                <w:b/>
                <w:kern w:val="0"/>
                <w:szCs w:val="21"/>
              </w:rPr>
            </w:pPr>
            <w:r>
              <w:rPr>
                <w:rFonts w:eastAsia="仿宋"/>
                <w:kern w:val="0"/>
                <w:szCs w:val="21"/>
              </w:rPr>
              <w:t>实验室内危险化学品建有动态台账</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r>
              <w:rPr>
                <w:rFonts w:hint="eastAsia" w:eastAsia="仿宋"/>
                <w:kern w:val="0"/>
                <w:szCs w:val="21"/>
              </w:rPr>
              <w:t>。</w:t>
            </w:r>
          </w:p>
        </w:tc>
        <w:tc>
          <w:tcPr>
            <w:tcW w:w="2543" w:type="dxa"/>
            <w:noWrap w:val="0"/>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9.3.2</w:t>
            </w:r>
          </w:p>
        </w:tc>
        <w:tc>
          <w:tcPr>
            <w:tcW w:w="3820" w:type="dxa"/>
            <w:noWrap w:val="0"/>
            <w:tcMar>
              <w:left w:w="45" w:type="dxa"/>
              <w:right w:w="45" w:type="dxa"/>
            </w:tcMar>
            <w:vAlign w:val="center"/>
          </w:tcPr>
          <w:p>
            <w:pPr>
              <w:widowControl/>
              <w:spacing w:line="300" w:lineRule="exact"/>
              <w:rPr>
                <w:rFonts w:eastAsia="仿宋"/>
                <w:szCs w:val="21"/>
              </w:rPr>
            </w:pPr>
            <w:r>
              <w:rPr>
                <w:rFonts w:eastAsia="仿宋"/>
                <w:szCs w:val="21"/>
              </w:rPr>
              <w:t>化学品有专用存放空间并科学有序存放</w:t>
            </w:r>
          </w:p>
        </w:tc>
        <w:tc>
          <w:tcPr>
            <w:tcW w:w="7660" w:type="dxa"/>
            <w:noWrap w:val="0"/>
            <w:tcMar>
              <w:left w:w="45" w:type="dxa"/>
              <w:right w:w="45" w:type="dxa"/>
            </w:tcMar>
            <w:vAlign w:val="center"/>
          </w:tcPr>
          <w:p>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r>
              <w:rPr>
                <w:rFonts w:hint="eastAsia" w:eastAsia="仿宋"/>
                <w:kern w:val="0"/>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9.3.3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noWrap w:val="0"/>
            <w:tcMar>
              <w:left w:w="45" w:type="dxa"/>
              <w:right w:w="45" w:type="dxa"/>
            </w:tcMar>
            <w:vAlign w:val="center"/>
          </w:tcPr>
          <w:p>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w:t>
            </w:r>
            <w:r>
              <w:rPr>
                <w:rFonts w:eastAsia="仿宋"/>
                <w:kern w:val="0"/>
                <w:szCs w:val="21"/>
              </w:rPr>
              <w:t>危险化学品（不含压缩气体和液化气体）原则上不应超过100公升或100千克，其中易燃易爆性化学品的存放总量不应超过50公升或50千克，且单一包装容器不应大于20公升或20千克</w:t>
            </w:r>
            <w:r>
              <w:rPr>
                <w:rFonts w:eastAsia="仿宋"/>
                <w:kern w:val="0"/>
              </w:rPr>
              <w:t>（</w:t>
            </w:r>
            <w:r>
              <w:rPr>
                <w:rFonts w:eastAsia="仿宋"/>
                <w:bCs/>
                <w:kern w:val="0"/>
              </w:rPr>
              <w:t>按</w:t>
            </w:r>
            <w:r>
              <w:rPr>
                <w:rFonts w:eastAsia="仿宋"/>
                <w:kern w:val="0"/>
              </w:rPr>
              <w:t>50平方米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hint="eastAsia" w:eastAsia="仿宋"/>
                <w:kern w:val="0"/>
              </w:rPr>
              <w:t>考量</w:t>
            </w:r>
            <w:r>
              <w:rPr>
                <w:rFonts w:eastAsia="仿宋"/>
                <w:kern w:val="0"/>
              </w:rPr>
              <w:t>）</w:t>
            </w:r>
            <w:r>
              <w:rPr>
                <w:rFonts w:hint="eastAsia" w:eastAsia="仿宋"/>
                <w:kern w:val="0"/>
              </w:rPr>
              <w:t>。</w:t>
            </w:r>
          </w:p>
          <w:p>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）常年大量使用易燃易爆溶剂或气体须加装泄露报警器；储存部位应加装常时排风，或与检测报警联动排风装置。</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9.3.4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化学品标签应显著完整清晰</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9.3.5</w:t>
            </w:r>
          </w:p>
        </w:tc>
        <w:tc>
          <w:tcPr>
            <w:tcW w:w="3820" w:type="dxa"/>
            <w:noWrap w:val="0"/>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其他化学品存放问题</w:t>
            </w:r>
          </w:p>
        </w:tc>
        <w:tc>
          <w:tcPr>
            <w:tcW w:w="7660" w:type="dxa"/>
            <w:noWrap w:val="0"/>
            <w:tcMar>
              <w:left w:w="45" w:type="dxa"/>
              <w:right w:w="45" w:type="dxa"/>
            </w:tcMar>
            <w:vAlign w:val="center"/>
          </w:tcPr>
          <w:p>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9.4</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9.4.1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w:t>
            </w:r>
            <w:r>
              <w:rPr>
                <w:rFonts w:eastAsia="仿宋"/>
                <w:kern w:val="0"/>
                <w:szCs w:val="21"/>
              </w:rPr>
              <w:t>指导书和预案上墙或便于取阅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按照指导书进行实验</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9.4.2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9.4.3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做好有毒有害废气的处理和防护</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noWrap w:val="0"/>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9.5</w:t>
            </w:r>
          </w:p>
        </w:tc>
        <w:tc>
          <w:tcPr>
            <w:tcW w:w="14023" w:type="dxa"/>
            <w:gridSpan w:val="3"/>
            <w:noWrap w:val="0"/>
            <w:tcMar>
              <w:left w:w="45" w:type="dxa"/>
              <w:right w:w="45" w:type="dxa"/>
            </w:tcMar>
            <w:vAlign w:val="center"/>
          </w:tcPr>
          <w:p>
            <w:pPr>
              <w:spacing w:line="300" w:lineRule="exact"/>
              <w:rPr>
                <w:rFonts w:eastAsia="仿宋"/>
                <w:b/>
                <w:szCs w:val="21"/>
              </w:rPr>
            </w:pPr>
            <w:r>
              <w:rPr>
                <w:rFonts w:eastAsia="仿宋"/>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9.5.1</w:t>
            </w:r>
          </w:p>
        </w:tc>
        <w:tc>
          <w:tcPr>
            <w:tcW w:w="3820" w:type="dxa"/>
            <w:noWrap w:val="0"/>
            <w:tcMar>
              <w:left w:w="45" w:type="dxa"/>
              <w:right w:w="45" w:type="dxa"/>
            </w:tcMar>
            <w:vAlign w:val="center"/>
          </w:tcPr>
          <w:p>
            <w:pPr>
              <w:spacing w:line="300" w:lineRule="exact"/>
              <w:rPr>
                <w:rFonts w:eastAsia="仿宋"/>
                <w:kern w:val="0"/>
                <w:szCs w:val="21"/>
              </w:rPr>
            </w:pPr>
            <w:r>
              <w:rPr>
                <w:rFonts w:hint="eastAsia" w:eastAsia="仿宋"/>
                <w:kern w:val="0"/>
                <w:szCs w:val="21"/>
              </w:rPr>
              <w:t>剧毒化学品执行“五双”管理（即双人验收、双人保管、双人发货、双把锁、双本账），技防措施符合管制要求</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17565的要求，防盗安全级别为乙级（含）以上，防盗锁应符合GA/T 73的要求，防盗保险柜应符合《防盗保险柜》GB 10409的要求，监控管控执行公安要求。</w:t>
            </w:r>
          </w:p>
        </w:tc>
        <w:tc>
          <w:tcPr>
            <w:tcW w:w="2543" w:type="dxa"/>
            <w:noWrap w:val="0"/>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9.5.2</w:t>
            </w:r>
          </w:p>
        </w:tc>
        <w:tc>
          <w:tcPr>
            <w:tcW w:w="3820" w:type="dxa"/>
            <w:noWrap w:val="0"/>
            <w:tcMar>
              <w:left w:w="45" w:type="dxa"/>
              <w:right w:w="45" w:type="dxa"/>
            </w:tcMar>
            <w:vAlign w:val="center"/>
          </w:tcPr>
          <w:p>
            <w:pPr>
              <w:spacing w:line="300" w:lineRule="exact"/>
              <w:rPr>
                <w:rFonts w:eastAsia="仿宋"/>
                <w:kern w:val="0"/>
                <w:szCs w:val="21"/>
              </w:rPr>
            </w:pPr>
            <w:r>
              <w:rPr>
                <w:rFonts w:eastAsia="仿宋"/>
                <w:kern w:val="0"/>
                <w:szCs w:val="21"/>
              </w:rPr>
              <w:t>易制毒化学品储存规范，台账清晰</w:t>
            </w:r>
          </w:p>
          <w:p>
            <w:pPr>
              <w:widowControl/>
              <w:spacing w:line="300" w:lineRule="exact"/>
              <w:rPr>
                <w:rFonts w:eastAsia="仿宋"/>
                <w:kern w:val="0"/>
                <w:szCs w:val="21"/>
              </w:rPr>
            </w:pP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noWrap w:val="0"/>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9.5.3</w:t>
            </w:r>
          </w:p>
        </w:tc>
        <w:tc>
          <w:tcPr>
            <w:tcW w:w="3820" w:type="dxa"/>
            <w:noWrap w:val="0"/>
            <w:tcMar>
              <w:left w:w="45" w:type="dxa"/>
              <w:right w:w="45" w:type="dxa"/>
            </w:tcMar>
            <w:vAlign w:val="center"/>
          </w:tcPr>
          <w:p>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pPr>
              <w:widowControl/>
              <w:spacing w:line="300" w:lineRule="exact"/>
              <w:rPr>
                <w:rFonts w:eastAsia="仿宋"/>
                <w:kern w:val="0"/>
                <w:szCs w:val="21"/>
              </w:rPr>
            </w:pP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9.5.4</w:t>
            </w:r>
          </w:p>
        </w:tc>
        <w:tc>
          <w:tcPr>
            <w:tcW w:w="3820" w:type="dxa"/>
            <w:noWrap w:val="0"/>
            <w:tcMar>
              <w:left w:w="45" w:type="dxa"/>
              <w:right w:w="45" w:type="dxa"/>
            </w:tcMar>
            <w:vAlign w:val="center"/>
          </w:tcPr>
          <w:p>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，有专用账册</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9.5.5</w:t>
            </w:r>
          </w:p>
        </w:tc>
        <w:tc>
          <w:tcPr>
            <w:tcW w:w="3820" w:type="dxa"/>
            <w:noWrap w:val="0"/>
            <w:tcMar>
              <w:left w:w="45" w:type="dxa"/>
              <w:right w:w="45" w:type="dxa"/>
            </w:tcMar>
            <w:vAlign w:val="center"/>
          </w:tcPr>
          <w:p>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r>
              <w:rPr>
                <w:rFonts w:hint="eastAsia" w:eastAsia="仿宋"/>
                <w:kern w:val="0"/>
                <w:szCs w:val="21"/>
              </w:rPr>
              <w:t>。</w:t>
            </w:r>
          </w:p>
        </w:tc>
        <w:tc>
          <w:tcPr>
            <w:tcW w:w="2543" w:type="dxa"/>
            <w:noWrap w:val="0"/>
            <w:tcMar>
              <w:left w:w="45" w:type="dxa"/>
              <w:right w:w="45" w:type="dxa"/>
            </w:tcMar>
            <w:vAlign w:val="center"/>
          </w:tcPr>
          <w:p>
            <w:pPr>
              <w:widowControl/>
              <w:spacing w:line="300" w:lineRule="exact"/>
              <w:jc w:val="left"/>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9.6.1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9.6.2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noWrap w:val="0"/>
            <w:tcMar>
              <w:left w:w="45" w:type="dxa"/>
              <w:right w:w="45" w:type="dxa"/>
            </w:tcMar>
            <w:vAlign w:val="center"/>
          </w:tcPr>
          <w:p>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涉及有毒、可燃气体的场所，配有通风设施和相应的气体监测和报警装置等，张贴必要的安全警示标识</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的规定要求，确认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r>
              <w:rPr>
                <w:rFonts w:hint="eastAsia" w:eastAsia="仿宋"/>
                <w:kern w:val="0"/>
                <w:szCs w:val="21"/>
              </w:rPr>
              <w:t>。</w:t>
            </w:r>
          </w:p>
        </w:tc>
        <w:tc>
          <w:tcPr>
            <w:tcW w:w="2543" w:type="dxa"/>
            <w:noWrap w:val="0"/>
            <w:tcMar>
              <w:left w:w="45" w:type="dxa"/>
              <w:right w:w="45" w:type="dxa"/>
            </w:tcMar>
            <w:vAlign w:val="center"/>
          </w:tcPr>
          <w:p>
            <w:pP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9.6.3</w:t>
            </w:r>
          </w:p>
        </w:tc>
        <w:tc>
          <w:tcPr>
            <w:tcW w:w="3820" w:type="dxa"/>
            <w:noWrap w:val="0"/>
            <w:tcMar>
              <w:left w:w="45" w:type="dxa"/>
              <w:right w:w="45" w:type="dxa"/>
            </w:tcMar>
            <w:vAlign w:val="center"/>
          </w:tcPr>
          <w:p>
            <w:pPr>
              <w:rPr>
                <w:rFonts w:eastAsia="仿宋"/>
                <w:kern w:val="0"/>
                <w:szCs w:val="21"/>
              </w:rPr>
            </w:pPr>
            <w:r>
              <w:rPr>
                <w:rFonts w:eastAsia="仿宋"/>
                <w:kern w:val="0"/>
              </w:rPr>
              <w:t>较小密封空间使用可引起窒息的气体，</w:t>
            </w:r>
            <w:r>
              <w:rPr>
                <w:rFonts w:hint="eastAsia" w:eastAsia="仿宋"/>
                <w:kern w:val="0"/>
              </w:rPr>
              <w:t>须</w:t>
            </w:r>
            <w:r>
              <w:rPr>
                <w:rFonts w:eastAsia="仿宋"/>
                <w:kern w:val="0"/>
              </w:rPr>
              <w:t>安装有氧含量监测，</w:t>
            </w:r>
            <w:r>
              <w:rPr>
                <w:rFonts w:eastAsia="仿宋"/>
                <w:kern w:val="0"/>
                <w:szCs w:val="21"/>
              </w:rPr>
              <w:t>设置必要的气体报警装置</w:t>
            </w:r>
          </w:p>
        </w:tc>
        <w:tc>
          <w:tcPr>
            <w:tcW w:w="7660" w:type="dxa"/>
            <w:noWrap w:val="0"/>
            <w:tcMar>
              <w:left w:w="45" w:type="dxa"/>
              <w:right w:w="45" w:type="dxa"/>
            </w:tcMar>
            <w:vAlign w:val="center"/>
          </w:tcPr>
          <w:p>
            <w:pPr>
              <w:widowControl/>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防止大量泄漏或蒸发导致缺氧，</w:t>
            </w:r>
            <w:r>
              <w:rPr>
                <w:rFonts w:hint="eastAsia" w:eastAsia="仿宋"/>
                <w:szCs w:val="21"/>
              </w:rPr>
              <w:t>须</w:t>
            </w:r>
            <w:r>
              <w:rPr>
                <w:rFonts w:eastAsia="仿宋"/>
                <w:szCs w:val="21"/>
              </w:rPr>
              <w:t>安装氧含量监测报警装置</w:t>
            </w:r>
            <w:r>
              <w:rPr>
                <w:rFonts w:hint="eastAsia" w:eastAsia="仿宋"/>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9.6.4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瓶连接正确、有清晰标识</w:t>
            </w:r>
          </w:p>
        </w:tc>
        <w:tc>
          <w:tcPr>
            <w:tcW w:w="7660" w:type="dxa"/>
            <w:noWrap w:val="0"/>
            <w:tcMar>
              <w:left w:w="45" w:type="dxa"/>
              <w:right w:w="45" w:type="dxa"/>
            </w:tcMar>
            <w:vAlign w:val="center"/>
          </w:tcPr>
          <w:p>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9.7</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实验室化学废弃物的收集、分类和转运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9.7.1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实验室应设立化学废弃物暂存区</w:t>
            </w:r>
          </w:p>
        </w:tc>
        <w:tc>
          <w:tcPr>
            <w:tcW w:w="7660" w:type="dxa"/>
            <w:noWrap w:val="0"/>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暂存区应有警示标识并有防遗洒、防渗漏设施或措施</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9.7.2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实验室内须规范收集化学废弃物</w:t>
            </w:r>
          </w:p>
        </w:tc>
        <w:tc>
          <w:tcPr>
            <w:tcW w:w="7660" w:type="dxa"/>
            <w:noWrap w:val="0"/>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废弃的化学试剂应存放在原试剂瓶中，保留原标签，并瓶口朝上放入专用固废箱中</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警示标志。</w:t>
            </w:r>
          </w:p>
          <w:p>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9.7.3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noWrap w:val="0"/>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szCs w:val="24"/>
              </w:rPr>
              <w:t>°C</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9.7.4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化学废弃物的转运须合规</w:t>
            </w:r>
          </w:p>
        </w:tc>
        <w:tc>
          <w:tcPr>
            <w:tcW w:w="7660" w:type="dxa"/>
            <w:noWrap w:val="0"/>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，查看协议。</w:t>
            </w:r>
          </w:p>
          <w:p>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其他环境污染。</w:t>
            </w:r>
          </w:p>
          <w:p>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10</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10.1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实验室生物安全等级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10.1.1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83</w:t>
            </w:r>
            <w:r>
              <w:rPr>
                <w:rFonts w:hint="eastAsia" w:eastAsia="仿宋"/>
                <w:kern w:val="0"/>
                <w:szCs w:val="21"/>
              </w:rPr>
              <w:t>）</w:t>
            </w:r>
            <w:r>
              <w:rPr>
                <w:rFonts w:eastAsia="仿宋"/>
                <w:kern w:val="0"/>
                <w:szCs w:val="21"/>
              </w:rPr>
              <w:t>BSL-3/ABSL-3、BSL-4/ABSL-4实验室须经政府部门批准建设</w:t>
            </w:r>
            <w:r>
              <w:rPr>
                <w:rFonts w:hint="eastAsia" w:eastAsia="仿宋"/>
                <w:kern w:val="0"/>
                <w:szCs w:val="21"/>
              </w:rPr>
              <w:t>，</w:t>
            </w:r>
            <w:r>
              <w:rPr>
                <w:rFonts w:eastAsia="仿宋"/>
                <w:kern w:val="0"/>
                <w:szCs w:val="21"/>
              </w:rPr>
              <w:t>BSL-1/ABSL-1、BSL-2/ABSL-2实验室由学校建设后报卫生或农业部门备案</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10.1.2</w:t>
            </w:r>
          </w:p>
        </w:tc>
        <w:tc>
          <w:tcPr>
            <w:tcW w:w="382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pPr>
              <w:widowControl/>
              <w:spacing w:line="300" w:lineRule="exact"/>
              <w:rPr>
                <w:rFonts w:eastAsia="仿宋"/>
                <w:kern w:val="0"/>
                <w:szCs w:val="21"/>
              </w:rPr>
            </w:pP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10.2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10.2.1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noWrap w:val="0"/>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r>
              <w:rPr>
                <w:rFonts w:hint="eastAsia" w:eastAsia="仿宋"/>
                <w:kern w:val="0"/>
                <w:szCs w:val="21"/>
              </w:rPr>
              <w:t>。</w:t>
            </w:r>
          </w:p>
        </w:tc>
        <w:tc>
          <w:tcPr>
            <w:tcW w:w="2543" w:type="dxa"/>
            <w:noWrap w:val="0"/>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10.2.2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配有符合相应要求的生物安全设施</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场所消毒要保证人员安全</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r>
              <w:rPr>
                <w:rFonts w:hint="eastAsia" w:eastAsia="仿宋"/>
                <w:kern w:val="0"/>
                <w:szCs w:val="21"/>
              </w:rPr>
              <w:t>。</w:t>
            </w:r>
          </w:p>
        </w:tc>
        <w:tc>
          <w:tcPr>
            <w:tcW w:w="2543" w:type="dxa"/>
            <w:noWrap w:val="0"/>
            <w:tcMar>
              <w:left w:w="45" w:type="dxa"/>
              <w:right w:w="45" w:type="dxa"/>
            </w:tcMar>
            <w:vAlign w:val="center"/>
          </w:tcPr>
          <w:p>
            <w:pPr>
              <w:pStyle w:val="6"/>
              <w:jc w:val="both"/>
              <w:rPr>
                <w:rFonts w:ascii="Times New Roman" w:hAnsi="Times New Roman"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10.3</w:t>
            </w:r>
          </w:p>
        </w:tc>
        <w:tc>
          <w:tcPr>
            <w:tcW w:w="14023" w:type="dxa"/>
            <w:gridSpan w:val="3"/>
            <w:noWrap w:val="0"/>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10.3.1</w:t>
            </w:r>
          </w:p>
        </w:tc>
        <w:tc>
          <w:tcPr>
            <w:tcW w:w="382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按规定报卫生和农业主管部门批准，并按相应的运输包装要求包装后转移和运输</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10.4</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10.4.1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10.4.2</w:t>
            </w:r>
          </w:p>
        </w:tc>
        <w:tc>
          <w:tcPr>
            <w:tcW w:w="3820" w:type="dxa"/>
            <w:noWrap w:val="0"/>
            <w:tcMar>
              <w:left w:w="45" w:type="dxa"/>
              <w:right w:w="45" w:type="dxa"/>
            </w:tcMar>
            <w:vAlign w:val="center"/>
          </w:tcPr>
          <w:p>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10.4.3</w:t>
            </w:r>
          </w:p>
        </w:tc>
        <w:tc>
          <w:tcPr>
            <w:tcW w:w="3820" w:type="dxa"/>
            <w:noWrap w:val="0"/>
            <w:tcMar>
              <w:left w:w="45" w:type="dxa"/>
              <w:right w:w="45" w:type="dxa"/>
            </w:tcMar>
            <w:vAlign w:val="center"/>
          </w:tcPr>
          <w:p>
            <w:pPr>
              <w:widowControl/>
              <w:spacing w:line="300" w:lineRule="exact"/>
              <w:rPr>
                <w:rFonts w:eastAsia="仿宋"/>
                <w:szCs w:val="21"/>
              </w:rPr>
            </w:pPr>
            <w:r>
              <w:rPr>
                <w:rFonts w:eastAsia="仿宋"/>
                <w:szCs w:val="21"/>
              </w:rPr>
              <w:t>制定相应的人员准入制度</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10.5</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10.5.1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10.5.2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r>
              <w:rPr>
                <w:rFonts w:hint="eastAsia" w:eastAsia="仿宋"/>
                <w:szCs w:val="21"/>
              </w:rPr>
              <w:t>。</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10.5.3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实验操作合规，安全防护措施合理</w:t>
            </w:r>
          </w:p>
        </w:tc>
        <w:tc>
          <w:tcPr>
            <w:tcW w:w="7660" w:type="dxa"/>
            <w:noWrap w:val="0"/>
            <w:tcMar>
              <w:left w:w="45" w:type="dxa"/>
              <w:right w:w="45" w:type="dxa"/>
            </w:tcMar>
            <w:vAlign w:val="center"/>
          </w:tcPr>
          <w:p>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r>
              <w:rPr>
                <w:rFonts w:hint="eastAsia" w:eastAsia="仿宋"/>
                <w:szCs w:val="21"/>
              </w:rPr>
              <w:t>。</w:t>
            </w:r>
          </w:p>
        </w:tc>
        <w:tc>
          <w:tcPr>
            <w:tcW w:w="2543" w:type="dxa"/>
            <w:noWrap w:val="0"/>
            <w:tcMar>
              <w:left w:w="45" w:type="dxa"/>
              <w:right w:w="45" w:type="dxa"/>
            </w:tcMar>
            <w:vAlign w:val="center"/>
          </w:tcPr>
          <w:p>
            <w:pPr>
              <w:pStyle w:val="55"/>
              <w:spacing w:line="360" w:lineRule="auto"/>
              <w:ind w:firstLine="0" w:firstLineChars="0"/>
              <w:rPr>
                <w:rFonts w:ascii="Times New Roman" w:hAnsi="Times New Roman"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10.6</w:t>
            </w:r>
          </w:p>
        </w:tc>
        <w:tc>
          <w:tcPr>
            <w:tcW w:w="14023" w:type="dxa"/>
            <w:gridSpan w:val="3"/>
            <w:noWrap w:val="0"/>
            <w:tcMar>
              <w:left w:w="45" w:type="dxa"/>
              <w:right w:w="45" w:type="dxa"/>
            </w:tcMar>
            <w:vAlign w:val="center"/>
          </w:tcPr>
          <w:p>
            <w:pPr>
              <w:widowControl/>
              <w:spacing w:line="300" w:lineRule="exact"/>
              <w:rPr>
                <w:rFonts w:eastAsia="仿宋"/>
                <w:bCs/>
                <w:kern w:val="0"/>
                <w:szCs w:val="21"/>
              </w:rPr>
            </w:pPr>
            <w:r>
              <w:rPr>
                <w:rFonts w:eastAsia="仿宋"/>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10.6.1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noWrap w:val="0"/>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10.6.2</w:t>
            </w:r>
          </w:p>
        </w:tc>
        <w:tc>
          <w:tcPr>
            <w:tcW w:w="3820" w:type="dxa"/>
            <w:noWrap w:val="0"/>
            <w:tcMar>
              <w:left w:w="45" w:type="dxa"/>
              <w:right w:w="45" w:type="dxa"/>
            </w:tcMar>
            <w:vAlign w:val="center"/>
          </w:tcPr>
          <w:p>
            <w:pPr>
              <w:widowControl/>
              <w:spacing w:line="300" w:lineRule="exact"/>
              <w:rPr>
                <w:rFonts w:eastAsia="仿宋"/>
                <w:szCs w:val="21"/>
              </w:rPr>
            </w:pPr>
            <w:r>
              <w:rPr>
                <w:rFonts w:eastAsia="仿宋"/>
                <w:kern w:val="0"/>
                <w:szCs w:val="21"/>
              </w:rPr>
              <w:t>动物实验按相关规定进行伦理审查，保障动物权益</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10.7</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10.7.1</w:t>
            </w:r>
          </w:p>
        </w:tc>
        <w:tc>
          <w:tcPr>
            <w:tcW w:w="382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noWrap w:val="0"/>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10.7.2</w:t>
            </w:r>
          </w:p>
        </w:tc>
        <w:tc>
          <w:tcPr>
            <w:tcW w:w="382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废弃物与其他类别废物分开，且做好防护和消杀</w:t>
            </w:r>
          </w:p>
        </w:tc>
        <w:tc>
          <w:tcPr>
            <w:tcW w:w="7660" w:type="dxa"/>
            <w:noWrap w:val="0"/>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w:t>
            </w:r>
            <w:r>
              <w:rPr>
                <w:rFonts w:eastAsia="仿宋"/>
                <w:kern w:val="0"/>
                <w:szCs w:val="21"/>
              </w:rPr>
              <w:t>刀片、移液枪头等尖锐物应使用利器盒或耐扎纸板箱盛放，送储时再装入</w:t>
            </w:r>
            <w:r>
              <w:rPr>
                <w:rFonts w:hint="eastAsia" w:eastAsia="仿宋"/>
                <w:kern w:val="0"/>
              </w:rPr>
              <w:t>生物</w:t>
            </w:r>
            <w:r>
              <w:rPr>
                <w:rFonts w:eastAsia="仿宋"/>
                <w:kern w:val="0"/>
              </w:rPr>
              <w:t>废物专用塑料袋</w:t>
            </w:r>
            <w:r>
              <w:rPr>
                <w:rFonts w:eastAsia="仿宋"/>
                <w:kern w:val="0"/>
                <w:szCs w:val="21"/>
              </w:rPr>
              <w:t>，贴好标签</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动物实验结束后，动物尸体及组织应做无害化处理，废物彻底灭菌后方可</w:t>
            </w:r>
            <w:r>
              <w:rPr>
                <w:rFonts w:hint="eastAsia" w:eastAsia="仿宋"/>
                <w:kern w:val="0"/>
                <w:szCs w:val="21"/>
              </w:rPr>
              <w:t>处置。</w:t>
            </w:r>
          </w:p>
          <w:p>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或其他细菌类</w:t>
            </w:r>
            <w:r>
              <w:rPr>
                <w:rFonts w:eastAsia="仿宋"/>
                <w:kern w:val="0"/>
                <w:szCs w:val="21"/>
              </w:rPr>
              <w:t>的生物废物必须进行高温高压灭菌或化学浸泡处理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11.1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11.1.1</w:t>
            </w:r>
          </w:p>
        </w:tc>
        <w:tc>
          <w:tcPr>
            <w:tcW w:w="3820" w:type="dxa"/>
            <w:noWrap w:val="0"/>
            <w:tcMar>
              <w:left w:w="45" w:type="dxa"/>
              <w:right w:w="45" w:type="dxa"/>
            </w:tcMar>
            <w:vAlign w:val="center"/>
          </w:tcPr>
          <w:p>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按规定在放射性核素种类和用量以及射线种类许可范围内开展实验</w:t>
            </w:r>
            <w:r>
              <w:rPr>
                <w:rFonts w:hint="eastAsia" w:eastAsia="仿宋"/>
                <w:kern w:val="0"/>
                <w:szCs w:val="21"/>
              </w:rPr>
              <w:t>。</w:t>
            </w:r>
            <w:r>
              <w:rPr>
                <w:rFonts w:eastAsia="仿宋"/>
                <w:kern w:val="0"/>
                <w:szCs w:val="21"/>
              </w:rPr>
              <w:t>除已被豁免管理外，射线装置、放射源或者非密封放射性物质应纳入许可证范畴</w:t>
            </w:r>
            <w:r>
              <w:rPr>
                <w:rFonts w:hint="eastAsia" w:eastAsia="仿宋"/>
                <w:kern w:val="0"/>
                <w:szCs w:val="21"/>
              </w:rPr>
              <w:t>。</w:t>
            </w:r>
          </w:p>
        </w:tc>
        <w:tc>
          <w:tcPr>
            <w:tcW w:w="2543" w:type="dxa"/>
            <w:noWrap w:val="0"/>
            <w:tcMar>
              <w:left w:w="45" w:type="dxa"/>
              <w:right w:w="45" w:type="dxa"/>
            </w:tcMar>
            <w:vAlign w:val="center"/>
          </w:tcPr>
          <w:p>
            <w:pPr>
              <w:spacing w:line="36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11.1.2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w:t>
            </w:r>
            <w:r>
              <w:rPr>
                <w:rFonts w:hint="eastAsia" w:eastAsia="仿宋"/>
                <w:kern w:val="0"/>
                <w:szCs w:val="21"/>
              </w:rPr>
              <w:t>成绩</w:t>
            </w:r>
            <w:r>
              <w:rPr>
                <w:rFonts w:eastAsia="仿宋"/>
                <w:kern w:val="0"/>
                <w:szCs w:val="21"/>
              </w:rPr>
              <w:t>报告单</w:t>
            </w:r>
            <w:bookmarkEnd w:id="0"/>
            <w:r>
              <w:rPr>
                <w:rFonts w:eastAsia="仿宋"/>
                <w:kern w:val="0"/>
                <w:szCs w:val="21"/>
              </w:rPr>
              <w:t>》</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人员进入实验场所须佩带个人剂量计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（3个月一次）</w:t>
            </w:r>
            <w:r>
              <w:rPr>
                <w:rFonts w:hint="eastAsia" w:eastAsia="仿宋"/>
                <w:kern w:val="0"/>
                <w:szCs w:val="21"/>
              </w:rPr>
              <w:t>。</w:t>
            </w:r>
          </w:p>
        </w:tc>
        <w:tc>
          <w:tcPr>
            <w:tcW w:w="2543" w:type="dxa"/>
            <w:noWrap w:val="0"/>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11.1.3</w:t>
            </w:r>
          </w:p>
        </w:tc>
        <w:tc>
          <w:tcPr>
            <w:tcW w:w="3820" w:type="dxa"/>
            <w:noWrap w:val="0"/>
            <w:tcMar>
              <w:left w:w="45" w:type="dxa"/>
              <w:right w:w="45" w:type="dxa"/>
            </w:tcMar>
            <w:vAlign w:val="center"/>
          </w:tcPr>
          <w:p>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r>
              <w:rPr>
                <w:rFonts w:hint="eastAsia" w:eastAsia="仿宋"/>
                <w:szCs w:val="21"/>
              </w:rPr>
              <w:t>。</w:t>
            </w:r>
          </w:p>
        </w:tc>
        <w:tc>
          <w:tcPr>
            <w:tcW w:w="2543" w:type="dxa"/>
            <w:noWrap w:val="0"/>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11.2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11.2.1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，并有安全报警系统和视频监控系统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辐照设施设备和射线装置具有能正常工作的安全</w:t>
            </w:r>
            <w:r>
              <w:rPr>
                <w:rFonts w:hint="eastAsia" w:eastAsia="仿宋"/>
                <w:kern w:val="0"/>
                <w:szCs w:val="21"/>
              </w:rPr>
              <w:t>联</w:t>
            </w:r>
            <w:r>
              <w:rPr>
                <w:rFonts w:eastAsia="仿宋"/>
                <w:kern w:val="0"/>
                <w:szCs w:val="21"/>
              </w:rPr>
              <w:t>锁装置和报警装置，有明显的安全警示标识、警戒线和剂量报警仪</w:t>
            </w:r>
            <w:r>
              <w:rPr>
                <w:rFonts w:hint="eastAsia" w:eastAsia="仿宋"/>
                <w:kern w:val="0"/>
                <w:szCs w:val="21"/>
              </w:rPr>
              <w:t>。</w:t>
            </w:r>
          </w:p>
        </w:tc>
        <w:tc>
          <w:tcPr>
            <w:tcW w:w="2543" w:type="dxa"/>
            <w:noWrap w:val="0"/>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11.2.2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szCs w:val="21"/>
              </w:rPr>
              <w:t>辐射实验场所每年有合格的实验场所检测报告</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r>
              <w:rPr>
                <w:rFonts w:hint="eastAsia" w:eastAsia="仿宋"/>
                <w:kern w:val="0"/>
                <w:szCs w:val="21"/>
              </w:rPr>
              <w:t>。</w:t>
            </w:r>
          </w:p>
        </w:tc>
        <w:tc>
          <w:tcPr>
            <w:tcW w:w="2543" w:type="dxa"/>
            <w:noWrap w:val="0"/>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放射源和放射性物质转让转移有学校及生态环境部门的审批备案材料，转让转移前必须先做环境影响评价工作</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放射性物质以及射线装置储存和使用场所变更应重新开展环境影响评价</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11.3</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类以上的密封性放射性实验操作</w:t>
            </w:r>
            <w:r>
              <w:rPr>
                <w:rFonts w:hint="eastAsia" w:eastAsia="仿宋"/>
                <w:kern w:val="0"/>
                <w:szCs w:val="21"/>
              </w:rPr>
              <w:t>。</w:t>
            </w:r>
            <w:bookmarkStart w:id="1" w:name="_Hlk67119357"/>
          </w:p>
          <w:p>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及应急演练记录（每年不少于一次演练）</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11.3.3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noWrap w:val="0"/>
            <w:tcMar>
              <w:left w:w="45" w:type="dxa"/>
              <w:right w:w="45" w:type="dxa"/>
            </w:tcMar>
            <w:vAlign w:val="center"/>
          </w:tcPr>
          <w:p>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相关实验室应当配置专门的放射性废物收集桶；放射性废液送贮前应进行固化整备</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12.1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12.1.1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noWrap w:val="0"/>
            <w:tcMar>
              <w:left w:w="45" w:type="dxa"/>
              <w:right w:w="45" w:type="dxa"/>
            </w:tcMar>
            <w:vAlign w:val="center"/>
          </w:tcPr>
          <w:p>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12.1.2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大型仪器设备、高功率的设备与电路容量相匹配，有设备运行维护的记录，有安全操作规程或注意事项</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12.1.3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仪器设备的接地和用电符合相关要求</w:t>
            </w:r>
          </w:p>
        </w:tc>
        <w:tc>
          <w:tcPr>
            <w:tcW w:w="7660" w:type="dxa"/>
            <w:noWrap w:val="0"/>
            <w:tcMar>
              <w:left w:w="45" w:type="dxa"/>
              <w:right w:w="45" w:type="dxa"/>
            </w:tcMar>
            <w:vAlign w:val="center"/>
          </w:tcPr>
          <w:p>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仪器设备接地系统应按规范要求，采用铜质材料，接地电阻不高于0.5欧</w:t>
            </w:r>
            <w:r>
              <w:rPr>
                <w:rFonts w:hint="eastAsia" w:eastAsia="仿宋"/>
                <w:szCs w:val="21"/>
              </w:rPr>
              <w:t>。</w:t>
            </w:r>
          </w:p>
          <w:p>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12.1.4</w:t>
            </w:r>
          </w:p>
        </w:tc>
        <w:tc>
          <w:tcPr>
            <w:tcW w:w="3820" w:type="dxa"/>
            <w:noWrap w:val="0"/>
            <w:tcMar>
              <w:left w:w="45" w:type="dxa"/>
              <w:right w:w="45" w:type="dxa"/>
            </w:tcMar>
            <w:vAlign w:val="center"/>
          </w:tcPr>
          <w:p>
            <w:pPr>
              <w:spacing w:line="300" w:lineRule="exact"/>
              <w:rPr>
                <w:rFonts w:eastAsia="仿宋"/>
                <w:szCs w:val="21"/>
              </w:rPr>
            </w:pPr>
            <w:r>
              <w:rPr>
                <w:rFonts w:eastAsia="仿宋"/>
                <w:szCs w:val="21"/>
              </w:rPr>
              <w:t>特殊设备应配备相应安全防护措施</w:t>
            </w:r>
          </w:p>
        </w:tc>
        <w:tc>
          <w:tcPr>
            <w:tcW w:w="7660" w:type="dxa"/>
            <w:noWrap w:val="0"/>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非标准设备、自制设备应经安全论证合格后方可使用，并须充分考虑安全系数，并有安全防护措施。</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12.2</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12.2.1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机械设备应保持清洁整齐，可靠接地</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12.2.2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noWrap w:val="0"/>
            <w:tcMar>
              <w:left w:w="45" w:type="dxa"/>
              <w:right w:w="45" w:type="dxa"/>
            </w:tcMar>
            <w:vAlign w:val="center"/>
          </w:tcPr>
          <w:p>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人</w:t>
            </w:r>
            <w:r>
              <w:rPr>
                <w:rFonts w:eastAsia="仿宋"/>
                <w:kern w:val="0"/>
              </w:rPr>
              <w:t>防护用品要穿戴齐全，如工作服、工作帽、工作鞋、防护眼镜等</w:t>
            </w:r>
            <w:r>
              <w:rPr>
                <w:rFonts w:hint="eastAsia" w:eastAsia="仿宋"/>
                <w:kern w:val="0"/>
              </w:rPr>
              <w:t>。</w:t>
            </w:r>
            <w:r>
              <w:rPr>
                <w:rFonts w:eastAsia="仿宋"/>
                <w:kern w:val="0"/>
              </w:rPr>
              <w:t>操作冷加工设备必须穿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，禁止戴手套、长围巾、领带、手镯等配饰物，禁穿拖鞋、高跟鞋等</w:t>
            </w:r>
            <w:r>
              <w:rPr>
                <w:rFonts w:hint="eastAsia" w:eastAsia="仿宋"/>
                <w:kern w:val="0"/>
                <w:szCs w:val="21"/>
              </w:rPr>
              <w:t>。</w:t>
            </w:r>
            <w:r>
              <w:rPr>
                <w:rFonts w:eastAsia="仿宋"/>
                <w:kern w:val="0"/>
                <w:szCs w:val="21"/>
              </w:rPr>
              <w:t>设备运转时严禁用手调整工件</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12.2.3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spacing w:line="300" w:lineRule="exact"/>
              <w:rPr>
                <w:rFonts w:eastAsia="仿宋"/>
                <w:szCs w:val="21"/>
              </w:rPr>
            </w:pPr>
            <w:r>
              <w:rPr>
                <w:rFonts w:eastAsia="仿宋"/>
                <w:kern w:val="0"/>
                <w:szCs w:val="21"/>
              </w:rPr>
              <w:t>12.2.4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高空作业应符合相关操作规程</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在坠落高度基准面2米</w:t>
            </w:r>
            <w:r>
              <w:rPr>
                <w:rFonts w:hint="eastAsia" w:eastAsia="仿宋"/>
                <w:kern w:val="0"/>
                <w:szCs w:val="21"/>
              </w:rPr>
              <w:t>及</w:t>
            </w:r>
            <w:r>
              <w:rPr>
                <w:rFonts w:eastAsia="仿宋"/>
                <w:kern w:val="0"/>
                <w:szCs w:val="21"/>
              </w:rPr>
              <w:t>以上有可能坠落的高处进行作业，须穿防滑鞋、佩戴安全帽、使用安全带</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12.3</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电气设备的使用应符合用电安全规范</w:t>
            </w:r>
          </w:p>
        </w:tc>
        <w:tc>
          <w:tcPr>
            <w:tcW w:w="7660" w:type="dxa"/>
            <w:noWrap w:val="0"/>
            <w:tcMar>
              <w:left w:w="45" w:type="dxa"/>
              <w:right w:w="45" w:type="dxa"/>
            </w:tcMar>
            <w:vAlign w:val="center"/>
          </w:tcPr>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各种电器设备及电线应始终保持干燥，防止浸湿，以防短路引起火灾或烧坏电气设备</w:t>
            </w:r>
            <w:r>
              <w:rPr>
                <w:rFonts w:hint="eastAsia" w:eastAsia="仿宋"/>
                <w:kern w:val="0"/>
                <w:szCs w:val="21"/>
              </w:rPr>
              <w:t>。</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高度不低于2米</w:t>
            </w:r>
            <w:r>
              <w:rPr>
                <w:rFonts w:eastAsia="仿宋"/>
                <w:kern w:val="0"/>
                <w:szCs w:val="21"/>
              </w:rPr>
              <w:t>）</w:t>
            </w:r>
            <w:r>
              <w:rPr>
                <w:rFonts w:hint="eastAsia" w:eastAsia="仿宋"/>
                <w:kern w:val="0"/>
                <w:szCs w:val="21"/>
              </w:rPr>
              <w:t>。</w:t>
            </w:r>
          </w:p>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禁止在有可燃气体泄露隐患的环境中使用电动工具；电烙铁有专门搁架，用毕立即切断电源</w:t>
            </w:r>
            <w:r>
              <w:rPr>
                <w:rFonts w:hint="eastAsia" w:eastAsia="仿宋"/>
                <w:szCs w:val="21"/>
              </w:rPr>
              <w:t>。</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r>
              <w:rPr>
                <w:rFonts w:hint="eastAsia" w:eastAsia="仿宋"/>
                <w:szCs w:val="21"/>
              </w:rPr>
              <w:t>。</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操作电气设备应配备合适的防护器具</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实验必须二人（含）以上，操作时应戴绝缘手套；防护器具按规定进行周期试验或定期更换；</w:t>
            </w:r>
            <w:r>
              <w:rPr>
                <w:rFonts w:eastAsia="仿宋"/>
                <w:szCs w:val="21"/>
              </w:rPr>
              <w:t>静电场所，要保持空气湿润，工作人员要穿戴防静电服、手套和鞋靴</w:t>
            </w:r>
            <w:r>
              <w:rPr>
                <w:rFonts w:hint="eastAsia" w:eastAsia="仿宋"/>
                <w:szCs w:val="21"/>
              </w:rPr>
              <w:t>。</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12.4</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12.4.1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bCs/>
                <w:kern w:val="0"/>
                <w:szCs w:val="21"/>
              </w:rPr>
              <w:t>激光实验室配有完备的安全屏蔽设施</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60</w:t>
            </w:r>
            <w:r>
              <w:rPr>
                <w:rFonts w:hint="eastAsia" w:eastAsia="仿宋"/>
                <w:bCs/>
                <w:kern w:val="0"/>
                <w:szCs w:val="21"/>
              </w:rPr>
              <w:t>）</w:t>
            </w:r>
            <w:r>
              <w:rPr>
                <w:rFonts w:eastAsia="仿宋"/>
                <w:bCs/>
                <w:kern w:val="0"/>
                <w:szCs w:val="21"/>
              </w:rPr>
              <w:t>功率较大的激光器有互锁装置、防护罩</w:t>
            </w:r>
            <w:r>
              <w:rPr>
                <w:rFonts w:hint="eastAsia" w:eastAsia="仿宋"/>
                <w:bCs/>
                <w:kern w:val="0"/>
                <w:szCs w:val="21"/>
              </w:rPr>
              <w:t>，</w:t>
            </w:r>
            <w:r>
              <w:rPr>
                <w:rFonts w:eastAsia="仿宋"/>
                <w:bCs/>
                <w:kern w:val="0"/>
                <w:szCs w:val="21"/>
              </w:rPr>
              <w:t>激光照射方向不会对他人造成伤害，防止激光发射口及反射镜上扬</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12.4.2</w:t>
            </w:r>
          </w:p>
        </w:tc>
        <w:tc>
          <w:tcPr>
            <w:tcW w:w="382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操作人员穿戴防护眼镜等防护用品、不带手表等能反光的物品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禁止用眼睛检查激光器故障，激光器必须在断电情况下进行检查</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12.4.3</w:t>
            </w:r>
          </w:p>
        </w:tc>
        <w:tc>
          <w:tcPr>
            <w:tcW w:w="3820" w:type="dxa"/>
            <w:noWrap w:val="0"/>
            <w:tcMar>
              <w:left w:w="45" w:type="dxa"/>
              <w:right w:w="45" w:type="dxa"/>
            </w:tcMar>
            <w:vAlign w:val="center"/>
          </w:tcPr>
          <w:p>
            <w:pPr>
              <w:widowControl/>
              <w:spacing w:line="300" w:lineRule="exact"/>
              <w:rPr>
                <w:rFonts w:eastAsia="仿宋"/>
                <w:bCs/>
                <w:kern w:val="0"/>
                <w:szCs w:val="21"/>
              </w:rPr>
            </w:pPr>
            <w:r>
              <w:rPr>
                <w:rFonts w:eastAsia="仿宋"/>
                <w:bCs/>
                <w:kern w:val="0"/>
                <w:szCs w:val="21"/>
              </w:rPr>
              <w:t>警告标识</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r>
              <w:rPr>
                <w:rFonts w:hint="eastAsia" w:eastAsia="仿宋"/>
                <w:bCs/>
                <w:kern w:val="0"/>
                <w:szCs w:val="21"/>
              </w:rPr>
              <w:t>。</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12.5</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12.5.1</w:t>
            </w:r>
          </w:p>
        </w:tc>
        <w:tc>
          <w:tcPr>
            <w:tcW w:w="3820" w:type="dxa"/>
            <w:noWrap w:val="0"/>
            <w:tcMar>
              <w:left w:w="45" w:type="dxa"/>
              <w:right w:w="45" w:type="dxa"/>
            </w:tcMar>
            <w:vAlign w:val="center"/>
          </w:tcPr>
          <w:p>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防爆灯、防爆电气开关，导线敷设应选用镀锌管，必须达到整体防爆要求</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r>
              <w:rPr>
                <w:rFonts w:hint="eastAsia" w:eastAsia="仿宋"/>
                <w:kern w:val="0"/>
                <w:szCs w:val="21"/>
              </w:rPr>
              <w:t>。</w:t>
            </w:r>
          </w:p>
        </w:tc>
        <w:tc>
          <w:tcPr>
            <w:tcW w:w="2543" w:type="dxa"/>
            <w:noWrap w:val="0"/>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12.5.2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noWrap w:val="0"/>
            <w:tcMar>
              <w:left w:w="45" w:type="dxa"/>
              <w:right w:w="45" w:type="dxa"/>
            </w:tcMar>
            <w:vAlign w:val="center"/>
          </w:tcPr>
          <w:p>
            <w:pPr>
              <w:rPr>
                <w:rFonts w:eastAsia="仿宋"/>
                <w:bCs/>
                <w:kern w:val="0"/>
                <w:szCs w:val="21"/>
              </w:rPr>
            </w:pPr>
            <w:r>
              <w:rPr>
                <w:rFonts w:hint="eastAsia" w:eastAsia="仿宋"/>
                <w:kern w:val="0"/>
              </w:rPr>
              <w:t>（2</w:t>
            </w:r>
            <w:r>
              <w:rPr>
                <w:rFonts w:eastAsia="仿宋"/>
                <w:kern w:val="0"/>
              </w:rPr>
              <w:t>65</w:t>
            </w:r>
            <w:r>
              <w:rPr>
                <w:rFonts w:hint="eastAsia" w:eastAsia="仿宋"/>
                <w:kern w:val="0"/>
              </w:rPr>
              <w:t>）</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12.5.3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noWrap w:val="0"/>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（2</w:t>
            </w:r>
            <w:r>
              <w:rPr>
                <w:rFonts w:eastAsia="仿宋"/>
                <w:kern w:val="0"/>
                <w:szCs w:val="21"/>
              </w:rPr>
              <w:t>66</w:t>
            </w:r>
            <w:r>
              <w:rPr>
                <w:rFonts w:hint="eastAsia" w:eastAsia="仿宋"/>
                <w:kern w:val="0"/>
                <w:szCs w:val="21"/>
              </w:rPr>
              <w:t>）</w:t>
            </w:r>
            <w:r>
              <w:rPr>
                <w:rFonts w:eastAsia="仿宋"/>
                <w:kern w:val="0"/>
                <w:szCs w:val="21"/>
              </w:rPr>
              <w:t>粉尘浓度较高的场所，</w:t>
            </w:r>
            <w:r>
              <w:rPr>
                <w:rFonts w:hint="eastAsia" w:eastAsia="仿宋"/>
                <w:kern w:val="0"/>
                <w:szCs w:val="21"/>
              </w:rPr>
              <w:t>适当配备加湿装置</w:t>
            </w:r>
            <w:r>
              <w:rPr>
                <w:rFonts w:eastAsia="仿宋"/>
                <w:kern w:val="0"/>
                <w:szCs w:val="21"/>
              </w:rPr>
              <w:t>；配备合适的灭火装置</w:t>
            </w:r>
            <w:r>
              <w:rPr>
                <w:rFonts w:hint="eastAsia" w:eastAsia="仿宋"/>
                <w:kern w:val="0"/>
                <w:szCs w:val="21"/>
              </w:rPr>
              <w:t>。</w:t>
            </w:r>
          </w:p>
        </w:tc>
        <w:tc>
          <w:tcPr>
            <w:tcW w:w="2543" w:type="dxa"/>
            <w:noWrap w:val="0"/>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13</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13.1</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13.1.1</w:t>
            </w:r>
          </w:p>
        </w:tc>
        <w:tc>
          <w:tcPr>
            <w:tcW w:w="382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13.1.2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noWrap w:val="0"/>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委托有资质单位进行定期检验，并将定期检验合格证置于特种设备显著位置</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13.1.3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在用起重机械至少每月进行一次日常维护保养和自行检查，并作记录</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13.2</w:t>
            </w:r>
          </w:p>
        </w:tc>
        <w:tc>
          <w:tcPr>
            <w:tcW w:w="14023" w:type="dxa"/>
            <w:gridSpan w:val="3"/>
            <w:noWrap w:val="0"/>
            <w:tcMar>
              <w:left w:w="45" w:type="dxa"/>
              <w:right w:w="45" w:type="dxa"/>
            </w:tcMar>
            <w:vAlign w:val="center"/>
          </w:tcPr>
          <w:p>
            <w:pPr>
              <w:widowControl/>
              <w:spacing w:line="300" w:lineRule="exact"/>
              <w:rPr>
                <w:rFonts w:eastAsia="仿宋"/>
                <w:bCs/>
                <w:kern w:val="0"/>
                <w:szCs w:val="21"/>
              </w:rPr>
            </w:pPr>
            <w:r>
              <w:rPr>
                <w:rFonts w:eastAsia="仿宋"/>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noWrap w:val="0"/>
            <w:tcMar>
              <w:left w:w="45" w:type="dxa"/>
              <w:right w:w="45" w:type="dxa"/>
            </w:tcMar>
            <w:vAlign w:val="center"/>
          </w:tcPr>
          <w:p>
            <w:pPr>
              <w:rPr>
                <w:rFonts w:eastAsia="仿宋"/>
                <w:kern w:val="0"/>
                <w:szCs w:val="21"/>
              </w:rPr>
            </w:pPr>
            <w:r>
              <w:rPr>
                <w:rFonts w:hint="eastAsia" w:eastAsia="仿宋"/>
                <w:color w:val="000000"/>
                <w:kern w:val="0"/>
                <w:szCs w:val="21"/>
              </w:rPr>
              <w:t>压力容器使用登记、相关人员资格</w:t>
            </w:r>
          </w:p>
        </w:tc>
        <w:tc>
          <w:tcPr>
            <w:tcW w:w="7660" w:type="dxa"/>
            <w:noWrap w:val="0"/>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设备铭牌上标明为简单压力容器不需办理</w:t>
            </w:r>
            <w:r>
              <w:rPr>
                <w:rFonts w:hint="eastAsia" w:eastAsia="仿宋"/>
                <w:kern w:val="0"/>
                <w:szCs w:val="21"/>
              </w:rPr>
              <w:t>。（气瓶的安全检查要点见</w:t>
            </w:r>
            <w:r>
              <w:rPr>
                <w:rFonts w:eastAsia="仿宋"/>
                <w:kern w:val="0"/>
                <w:szCs w:val="21"/>
              </w:rPr>
              <w:t>9.6</w:t>
            </w:r>
            <w:r>
              <w:rPr>
                <w:rFonts w:hint="eastAsia" w:eastAsia="仿宋"/>
                <w:kern w:val="0"/>
                <w:szCs w:val="21"/>
              </w:rPr>
              <w:t>）。</w:t>
            </w:r>
          </w:p>
          <w:p>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tc>
        <w:tc>
          <w:tcPr>
            <w:tcW w:w="2543" w:type="dxa"/>
            <w:noWrap w:val="0"/>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13.2.2</w:t>
            </w:r>
          </w:p>
        </w:tc>
        <w:tc>
          <w:tcPr>
            <w:tcW w:w="3820" w:type="dxa"/>
            <w:noWrap w:val="0"/>
            <w:tcMar>
              <w:left w:w="45" w:type="dxa"/>
              <w:right w:w="45" w:type="dxa"/>
            </w:tcMar>
            <w:vAlign w:val="center"/>
          </w:tcPr>
          <w:p>
            <w:pPr>
              <w:rPr>
                <w:rFonts w:eastAsia="仿宋"/>
                <w:kern w:val="0"/>
                <w:szCs w:val="21"/>
              </w:rPr>
            </w:pPr>
            <w:r>
              <w:rPr>
                <w:rFonts w:hint="eastAsia" w:eastAsia="仿宋"/>
                <w:kern w:val="0"/>
                <w:szCs w:val="21"/>
              </w:rPr>
              <w:t>压力容器定期检验</w:t>
            </w:r>
          </w:p>
        </w:tc>
        <w:tc>
          <w:tcPr>
            <w:tcW w:w="7660" w:type="dxa"/>
            <w:noWrap w:val="0"/>
            <w:tcMar>
              <w:left w:w="45" w:type="dxa"/>
              <w:right w:w="45" w:type="dxa"/>
            </w:tcMar>
            <w:vAlign w:val="center"/>
          </w:tcPr>
          <w:p>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）委托有资质单位进行定期检验，并将定期检验合格证置于特种设备显著位置</w:t>
            </w:r>
          </w:p>
          <w:p>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委托有资质单位定期校验或检定</w:t>
            </w:r>
            <w:r>
              <w:rPr>
                <w:rFonts w:hint="eastAsia" w:eastAsia="仿宋"/>
                <w:kern w:val="0"/>
                <w:szCs w:val="21"/>
              </w:rPr>
              <w:t>。</w:t>
            </w:r>
          </w:p>
        </w:tc>
        <w:tc>
          <w:tcPr>
            <w:tcW w:w="2543" w:type="dxa"/>
            <w:noWrap w:val="0"/>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noWrap w:val="0"/>
            <w:tcMar>
              <w:left w:w="45" w:type="dxa"/>
              <w:right w:w="45" w:type="dxa"/>
            </w:tcMar>
            <w:vAlign w:val="center"/>
          </w:tcPr>
          <w:p>
            <w:pPr>
              <w:rPr>
                <w:rFonts w:eastAsia="仿宋"/>
                <w:kern w:val="0"/>
                <w:szCs w:val="21"/>
              </w:rPr>
            </w:pPr>
            <w:r>
              <w:rPr>
                <w:rFonts w:hint="eastAsia" w:eastAsia="仿宋"/>
                <w:kern w:val="0"/>
                <w:szCs w:val="21"/>
              </w:rPr>
              <w:t>压力容器使用管理</w:t>
            </w:r>
          </w:p>
        </w:tc>
        <w:tc>
          <w:tcPr>
            <w:tcW w:w="7660" w:type="dxa"/>
            <w:noWrap w:val="0"/>
            <w:tcMar>
              <w:left w:w="45" w:type="dxa"/>
              <w:right w:w="45" w:type="dxa"/>
            </w:tcMar>
            <w:vAlign w:val="center"/>
          </w:tcPr>
          <w:p>
            <w:pPr>
              <w:rPr>
                <w:rFonts w:eastAsia="仿宋"/>
                <w:color w:val="000000"/>
                <w:kern w:val="0"/>
                <w:szCs w:val="21"/>
              </w:rPr>
            </w:pPr>
            <w:r>
              <w:rPr>
                <w:rFonts w:hint="eastAsia" w:eastAsia="仿宋"/>
                <w:color w:val="000000"/>
                <w:kern w:val="0"/>
                <w:szCs w:val="21"/>
              </w:rPr>
              <w:t>（</w:t>
            </w:r>
            <w:r>
              <w:rPr>
                <w:rFonts w:eastAsia="仿宋"/>
                <w:color w:val="000000"/>
                <w:kern w:val="0"/>
                <w:szCs w:val="21"/>
              </w:rPr>
              <w:t>278</w:t>
            </w:r>
            <w:r>
              <w:rPr>
                <w:rFonts w:hint="eastAsia" w:eastAsia="仿宋"/>
                <w:color w:val="000000"/>
                <w:kern w:val="0"/>
                <w:szCs w:val="21"/>
              </w:rPr>
              <w:t>）设置安全管理机构，配备安全管理负责人、安全管理人员和作业人员，建立各项安全管理制度，制定操作规程。</w:t>
            </w:r>
          </w:p>
          <w:p>
            <w:pPr>
              <w:rPr>
                <w:rFonts w:eastAsia="仿宋"/>
                <w:color w:val="000000"/>
                <w:kern w:val="0"/>
                <w:szCs w:val="21"/>
              </w:rPr>
            </w:pPr>
            <w:r>
              <w:rPr>
                <w:rFonts w:hint="eastAsia" w:eastAsia="仿宋"/>
                <w:color w:val="000000"/>
                <w:kern w:val="0"/>
                <w:szCs w:val="21"/>
              </w:rPr>
              <w:t>（2</w:t>
            </w:r>
            <w:r>
              <w:rPr>
                <w:rFonts w:eastAsia="仿宋"/>
                <w:color w:val="000000"/>
                <w:kern w:val="0"/>
                <w:szCs w:val="21"/>
              </w:rPr>
              <w:t>79</w:t>
            </w:r>
            <w:r>
              <w:rPr>
                <w:rFonts w:hint="eastAsia" w:eastAsia="仿宋"/>
                <w:color w:val="000000"/>
                <w:kern w:val="0"/>
                <w:szCs w:val="21"/>
              </w:rPr>
              <w:t>）实验室应经常巡回检查，发现异常及时处理，并做记录。</w:t>
            </w:r>
          </w:p>
          <w:p>
            <w:pPr>
              <w:rPr>
                <w:rFonts w:eastAsia="仿宋"/>
                <w:kern w:val="0"/>
                <w:szCs w:val="21"/>
              </w:rPr>
            </w:pPr>
            <w:r>
              <w:rPr>
                <w:rFonts w:hint="eastAsia" w:eastAsia="仿宋"/>
                <w:color w:val="000000"/>
                <w:kern w:val="0"/>
                <w:szCs w:val="21"/>
              </w:rPr>
              <w:t>（</w:t>
            </w:r>
            <w:r>
              <w:rPr>
                <w:rFonts w:eastAsia="仿宋"/>
                <w:color w:val="000000"/>
                <w:kern w:val="0"/>
                <w:szCs w:val="21"/>
              </w:rPr>
              <w:t>280</w:t>
            </w:r>
            <w:r>
              <w:rPr>
                <w:rFonts w:hint="eastAsia" w:eastAsia="仿宋"/>
                <w:color w:val="000000"/>
                <w:kern w:val="0"/>
                <w:szCs w:val="21"/>
              </w:rPr>
              <w:t>）建立压力容器自行检查</w:t>
            </w:r>
            <w:r>
              <w:rPr>
                <w:rFonts w:hint="eastAsia" w:eastAsia="仿宋"/>
                <w:kern w:val="0"/>
                <w:szCs w:val="21"/>
              </w:rPr>
              <w:t>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次月度检查，每年至少进行1次年度检查，并做记录。</w:t>
            </w:r>
          </w:p>
          <w:p>
            <w:pPr>
              <w:rPr>
                <w:rFonts w:eastAsia="仿宋"/>
                <w:kern w:val="0"/>
                <w:szCs w:val="21"/>
              </w:rPr>
            </w:pPr>
            <w:r>
              <w:rPr>
                <w:rFonts w:hint="eastAsia" w:eastAsia="仿宋"/>
                <w:color w:val="000000"/>
                <w:kern w:val="0"/>
                <w:szCs w:val="21"/>
              </w:rPr>
              <w:t>（</w:t>
            </w:r>
            <w:r>
              <w:rPr>
                <w:rFonts w:eastAsia="仿宋"/>
                <w:color w:val="000000"/>
                <w:kern w:val="0"/>
                <w:szCs w:val="21"/>
              </w:rPr>
              <w:t>281</w:t>
            </w:r>
            <w:r>
              <w:rPr>
                <w:rFonts w:hint="eastAsia" w:eastAsia="仿宋"/>
                <w:color w:val="000000"/>
                <w:kern w:val="0"/>
                <w:szCs w:val="21"/>
              </w:rPr>
              <w:t>）</w:t>
            </w:r>
            <w:r>
              <w:rPr>
                <w:rFonts w:hint="eastAsia" w:eastAsia="仿宋"/>
                <w:kern w:val="0"/>
                <w:szCs w:val="21"/>
              </w:rPr>
              <w:t>简单压力容器也应建立设备安全管理档案。</w:t>
            </w:r>
          </w:p>
          <w:p>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）盛装可燃、爆炸性气体的压力容器，其电气设施应防爆，电器开关和熔断器都应设置在明显位置。室外放置大型气罐应注意防雷。</w:t>
            </w:r>
          </w:p>
        </w:tc>
        <w:tc>
          <w:tcPr>
            <w:tcW w:w="2543" w:type="dxa"/>
            <w:noWrap w:val="0"/>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13.2.4</w:t>
            </w:r>
          </w:p>
        </w:tc>
        <w:tc>
          <w:tcPr>
            <w:tcW w:w="3820" w:type="dxa"/>
            <w:noWrap w:val="0"/>
            <w:tcMar>
              <w:left w:w="45" w:type="dxa"/>
              <w:right w:w="45" w:type="dxa"/>
            </w:tcMar>
            <w:vAlign w:val="center"/>
          </w:tcPr>
          <w:p>
            <w:pPr>
              <w:rPr>
                <w:rFonts w:eastAsia="仿宋"/>
                <w:kern w:val="0"/>
                <w:szCs w:val="21"/>
              </w:rPr>
            </w:pPr>
            <w:r>
              <w:rPr>
                <w:rFonts w:hint="eastAsia" w:eastAsia="仿宋"/>
                <w:kern w:val="0"/>
                <w:szCs w:val="21"/>
              </w:rPr>
              <w:t>压力容器的使用年限及报废</w:t>
            </w:r>
          </w:p>
        </w:tc>
        <w:tc>
          <w:tcPr>
            <w:tcW w:w="7660" w:type="dxa"/>
            <w:noWrap w:val="0"/>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noWrap w:val="0"/>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13.3</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13.3.1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13.3.2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noWrap w:val="0"/>
            <w:tcMar>
              <w:left w:w="45" w:type="dxa"/>
              <w:right w:w="45" w:type="dxa"/>
            </w:tcMar>
            <w:vAlign w:val="center"/>
          </w:tcPr>
          <w:p>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lang w:eastAsia="zh-CN"/>
              </w:rPr>
              <w:t>，</w:t>
            </w:r>
            <w:r>
              <w:rPr>
                <w:rFonts w:hint="eastAsia" w:eastAsia="仿宋"/>
                <w:kern w:val="0"/>
                <w:szCs w:val="21"/>
                <w:lang w:val="en-US" w:eastAsia="zh-CN"/>
              </w:rPr>
              <w:t>证书</w:t>
            </w:r>
            <w:r>
              <w:rPr>
                <w:rFonts w:eastAsia="仿宋"/>
                <w:kern w:val="0"/>
                <w:szCs w:val="21"/>
              </w:rPr>
              <w:t>在有效期内</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13.3.3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委托有资质单位进行定期检验</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13.4</w:t>
            </w:r>
          </w:p>
        </w:tc>
        <w:tc>
          <w:tcPr>
            <w:tcW w:w="14023" w:type="dxa"/>
            <w:gridSpan w:val="3"/>
            <w:noWrap w:val="0"/>
            <w:tcMar>
              <w:left w:w="45" w:type="dxa"/>
              <w:right w:w="45" w:type="dxa"/>
            </w:tcMar>
            <w:vAlign w:val="center"/>
          </w:tcPr>
          <w:p>
            <w:pPr>
              <w:widowControl/>
              <w:spacing w:line="300" w:lineRule="exact"/>
              <w:rPr>
                <w:rFonts w:eastAsia="仿宋"/>
                <w:b/>
                <w:kern w:val="0"/>
                <w:szCs w:val="21"/>
              </w:rPr>
            </w:pPr>
            <w:r>
              <w:rPr>
                <w:rFonts w:eastAsia="仿宋"/>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13.4.1</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贮存危险化学品的冰箱满足防爆要求</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13.4.2</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13.4.3</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90</w:t>
            </w:r>
            <w:r>
              <w:rPr>
                <w:rFonts w:hint="eastAsia" w:eastAsia="仿宋"/>
                <w:kern w:val="0"/>
                <w:szCs w:val="21"/>
              </w:rPr>
              <w:t>）</w:t>
            </w:r>
            <w:r>
              <w:rPr>
                <w:rFonts w:eastAsia="仿宋"/>
                <w:kern w:val="0"/>
                <w:szCs w:val="21"/>
              </w:rPr>
              <w:t>冰箱不超期使用（一般使用期限控制为10年），如超期使用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noWrap w:val="0"/>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13.4.4</w:t>
            </w:r>
          </w:p>
        </w:tc>
        <w:tc>
          <w:tcPr>
            <w:tcW w:w="3820"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加热设备周边醒目位置张贴有高温警示标识，并有必要的防护措施</w:t>
            </w:r>
            <w:r>
              <w:rPr>
                <w:rFonts w:hint="eastAsia" w:eastAsia="仿宋"/>
                <w:kern w:val="0"/>
                <w:szCs w:val="21"/>
              </w:rPr>
              <w:t>，</w:t>
            </w:r>
            <w:r>
              <w:rPr>
                <w:rFonts w:eastAsia="仿宋"/>
                <w:kern w:val="0"/>
                <w:szCs w:val="21"/>
              </w:rPr>
              <w:t>张贴有安全操作规程、警示标识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w:t>
            </w:r>
            <w:r>
              <w:rPr>
                <w:rFonts w:eastAsia="仿宋"/>
                <w:kern w:val="0"/>
                <w:szCs w:val="21"/>
              </w:rPr>
              <w:t>使用</w:t>
            </w:r>
            <w:r>
              <w:rPr>
                <w:rFonts w:hint="eastAsia" w:eastAsia="仿宋"/>
                <w:kern w:val="0"/>
                <w:szCs w:val="21"/>
              </w:rPr>
              <w:t>烘箱</w:t>
            </w:r>
            <w:r>
              <w:rPr>
                <w:rFonts w:eastAsia="仿宋"/>
                <w:kern w:val="0"/>
                <w:szCs w:val="21"/>
              </w:rPr>
              <w:t>完毕，清理物品、切断电源，确认其冷却至安全温度后方能离开</w:t>
            </w:r>
          </w:p>
          <w:p>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pPr>
              <w:widowControl/>
              <w:spacing w:line="300" w:lineRule="exact"/>
              <w:rPr>
                <w:rFonts w:eastAsia="仿宋"/>
                <w:kern w:val="0"/>
                <w:szCs w:val="21"/>
              </w:rPr>
            </w:pPr>
            <w:r>
              <w:rPr>
                <w:rFonts w:eastAsia="仿宋"/>
                <w:kern w:val="0"/>
                <w:szCs w:val="21"/>
              </w:rPr>
              <w:t>13.4.5</w:t>
            </w:r>
          </w:p>
        </w:tc>
        <w:tc>
          <w:tcPr>
            <w:tcW w:w="3820" w:type="dxa"/>
            <w:noWrap w:val="0"/>
            <w:tcMar>
              <w:left w:w="45" w:type="dxa"/>
              <w:right w:w="45" w:type="dxa"/>
            </w:tcMar>
            <w:vAlign w:val="center"/>
          </w:tcPr>
          <w:p>
            <w:pPr>
              <w:widowControl/>
              <w:spacing w:line="300" w:lineRule="exact"/>
              <w:rPr>
                <w:rFonts w:eastAsia="仿宋"/>
                <w:szCs w:val="21"/>
              </w:rPr>
            </w:pPr>
            <w:r>
              <w:rPr>
                <w:rFonts w:eastAsia="仿宋"/>
                <w:kern w:val="0"/>
                <w:szCs w:val="21"/>
              </w:rPr>
              <w:t>使用明火电炉或者电吹风须有安全防范举措</w:t>
            </w:r>
          </w:p>
        </w:tc>
        <w:tc>
          <w:tcPr>
            <w:tcW w:w="7660" w:type="dxa"/>
            <w:noWrap w:val="0"/>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r>
              <w:rPr>
                <w:rFonts w:hint="eastAsia" w:eastAsia="仿宋"/>
                <w:kern w:val="0"/>
                <w:szCs w:val="21"/>
              </w:rPr>
              <w:t>。</w:t>
            </w:r>
          </w:p>
        </w:tc>
        <w:tc>
          <w:tcPr>
            <w:tcW w:w="2543" w:type="dxa"/>
            <w:noWrap w:val="0"/>
            <w:tcMar>
              <w:left w:w="45" w:type="dxa"/>
              <w:right w:w="45" w:type="dxa"/>
            </w:tcMar>
            <w:vAlign w:val="center"/>
          </w:tcPr>
          <w:p>
            <w:pPr>
              <w:widowControl/>
              <w:spacing w:line="300" w:lineRule="exact"/>
              <w:rPr>
                <w:rFonts w:eastAsia="仿宋"/>
                <w:kern w:val="0"/>
                <w:szCs w:val="21"/>
              </w:rPr>
            </w:pPr>
          </w:p>
        </w:tc>
      </w:tr>
    </w:tbl>
    <w:p>
      <w:pPr>
        <w:adjustRightInd w:val="0"/>
        <w:snapToGrid w:val="0"/>
        <w:spacing w:before="156" w:beforeLines="50"/>
        <w:rPr>
          <w:rFonts w:eastAsia="仿宋"/>
          <w:color w:val="000000"/>
        </w:rPr>
      </w:pPr>
    </w:p>
    <w:sectPr>
      <w:footerReference r:id="rId3" w:type="default"/>
      <w:pgSz w:w="16838" w:h="11906" w:orient="landscape"/>
      <w:pgMar w:top="964" w:right="1587"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E0002AFF" w:usb1="C0007843" w:usb2="00000009" w:usb3="00000000" w:csb0="400001FF" w:csb1="FFFF0000"/>
  </w:font>
  <w:font w:name="黑体">
    <w:altName w:val="方正黑体_GBK"/>
    <w:panose1 w:val="02010609060101010101"/>
    <w:charset w:val="00"/>
    <w:family w:val="auto"/>
    <w:pitch w:val="default"/>
    <w:sig w:usb0="800002BF" w:usb1="38CF7CFA" w:usb2="00000016"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Courier New">
    <w:altName w:val="DejaVu Sans"/>
    <w:panose1 w:val="02070309020205020404"/>
    <w:charset w:val="00"/>
    <w:family w:val="modern"/>
    <w:pitch w:val="default"/>
    <w:sig w:usb0="E0002AFF" w:usb1="C0007843" w:usb2="00000009" w:usb3="00000000" w:csb0="400001FF" w:csb1="FFFF0000"/>
  </w:font>
  <w:font w:name="文鼎大标宋简">
    <w:altName w:val="方正书宋_GBK"/>
    <w:panose1 w:val="00000000000000000000"/>
    <w:charset w:val="00"/>
    <w:family w:val="roman"/>
    <w:pitch w:val="default"/>
    <w:sig w:usb0="00000000" w:usb1="00000000" w:usb2="00000010" w:usb3="00000000" w:csb0="00040000" w:csb1="00000000"/>
  </w:font>
  <w:font w:name="等线">
    <w:altName w:val="汉仪中宋简"/>
    <w:panose1 w:val="02010600030101010101"/>
    <w:charset w:val="00"/>
    <w:family w:val="auto"/>
    <w:pitch w:val="default"/>
    <w:sig w:usb0="00000000" w:usb1="00000000" w:usb2="00000016" w:usb3="00000000" w:csb0="0004000F" w:csb1="00000000"/>
  </w:font>
  <w:font w:name="仿宋">
    <w:altName w:val="方正仿宋_GBK"/>
    <w:panose1 w:val="02010609060101010101"/>
    <w:charset w:val="00"/>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22</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7E9"/>
    <w:rsid w:val="00025D3E"/>
    <w:rsid w:val="00027CE8"/>
    <w:rsid w:val="00032348"/>
    <w:rsid w:val="00032864"/>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7E2"/>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E4"/>
    <w:rsid w:val="000F6802"/>
    <w:rsid w:val="000F71A8"/>
    <w:rsid w:val="001008AD"/>
    <w:rsid w:val="00100E66"/>
    <w:rsid w:val="001013B9"/>
    <w:rsid w:val="0010152B"/>
    <w:rsid w:val="00102F64"/>
    <w:rsid w:val="001035DF"/>
    <w:rsid w:val="001040F3"/>
    <w:rsid w:val="00105938"/>
    <w:rsid w:val="00107176"/>
    <w:rsid w:val="00107337"/>
    <w:rsid w:val="001073B8"/>
    <w:rsid w:val="00107532"/>
    <w:rsid w:val="00107F92"/>
    <w:rsid w:val="001112B5"/>
    <w:rsid w:val="00111859"/>
    <w:rsid w:val="001119FB"/>
    <w:rsid w:val="00111AA5"/>
    <w:rsid w:val="00113C6B"/>
    <w:rsid w:val="00114210"/>
    <w:rsid w:val="00114A79"/>
    <w:rsid w:val="00117113"/>
    <w:rsid w:val="00117E7E"/>
    <w:rsid w:val="00120B03"/>
    <w:rsid w:val="00120D87"/>
    <w:rsid w:val="00120EAE"/>
    <w:rsid w:val="00120EFB"/>
    <w:rsid w:val="00121081"/>
    <w:rsid w:val="001211F9"/>
    <w:rsid w:val="0012236F"/>
    <w:rsid w:val="00122754"/>
    <w:rsid w:val="00122820"/>
    <w:rsid w:val="0012290E"/>
    <w:rsid w:val="0012298A"/>
    <w:rsid w:val="00123622"/>
    <w:rsid w:val="001241E5"/>
    <w:rsid w:val="00124A64"/>
    <w:rsid w:val="00124E9A"/>
    <w:rsid w:val="00125C51"/>
    <w:rsid w:val="00125E2C"/>
    <w:rsid w:val="00125E66"/>
    <w:rsid w:val="00126CE4"/>
    <w:rsid w:val="0012755C"/>
    <w:rsid w:val="00131CE5"/>
    <w:rsid w:val="00132CA5"/>
    <w:rsid w:val="001334D8"/>
    <w:rsid w:val="00135444"/>
    <w:rsid w:val="00135DBD"/>
    <w:rsid w:val="0013645C"/>
    <w:rsid w:val="00136E51"/>
    <w:rsid w:val="001377DF"/>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4FF6"/>
    <w:rsid w:val="00166F15"/>
    <w:rsid w:val="00170665"/>
    <w:rsid w:val="00171905"/>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232E"/>
    <w:rsid w:val="001D2C13"/>
    <w:rsid w:val="001D302D"/>
    <w:rsid w:val="001D3868"/>
    <w:rsid w:val="001D46C5"/>
    <w:rsid w:val="001D5AB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6089"/>
    <w:rsid w:val="001F73CE"/>
    <w:rsid w:val="001F752B"/>
    <w:rsid w:val="001F7EA7"/>
    <w:rsid w:val="00200A3D"/>
    <w:rsid w:val="00200C3C"/>
    <w:rsid w:val="00201399"/>
    <w:rsid w:val="0020295B"/>
    <w:rsid w:val="00202F43"/>
    <w:rsid w:val="0020357E"/>
    <w:rsid w:val="00204B76"/>
    <w:rsid w:val="00204BEB"/>
    <w:rsid w:val="002060B3"/>
    <w:rsid w:val="00207FEC"/>
    <w:rsid w:val="00210B50"/>
    <w:rsid w:val="00211A37"/>
    <w:rsid w:val="00212E79"/>
    <w:rsid w:val="002141F2"/>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68D5"/>
    <w:rsid w:val="002A6CBD"/>
    <w:rsid w:val="002A79BC"/>
    <w:rsid w:val="002B15B1"/>
    <w:rsid w:val="002B1B18"/>
    <w:rsid w:val="002B2B11"/>
    <w:rsid w:val="002B3ACD"/>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2310"/>
    <w:rsid w:val="003044AB"/>
    <w:rsid w:val="00310ABE"/>
    <w:rsid w:val="00312077"/>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3730"/>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30A2"/>
    <w:rsid w:val="003A363C"/>
    <w:rsid w:val="003A4EDD"/>
    <w:rsid w:val="003A514A"/>
    <w:rsid w:val="003A6E6B"/>
    <w:rsid w:val="003A7581"/>
    <w:rsid w:val="003A7A18"/>
    <w:rsid w:val="003A7E61"/>
    <w:rsid w:val="003B1481"/>
    <w:rsid w:val="003B319C"/>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49C0"/>
    <w:rsid w:val="003E5997"/>
    <w:rsid w:val="003E6F3F"/>
    <w:rsid w:val="003E712C"/>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AE0"/>
    <w:rsid w:val="00407B11"/>
    <w:rsid w:val="00407B45"/>
    <w:rsid w:val="00410409"/>
    <w:rsid w:val="00410D5F"/>
    <w:rsid w:val="00410DAB"/>
    <w:rsid w:val="00411B39"/>
    <w:rsid w:val="00411FB9"/>
    <w:rsid w:val="004130BD"/>
    <w:rsid w:val="00414256"/>
    <w:rsid w:val="00414333"/>
    <w:rsid w:val="00414E69"/>
    <w:rsid w:val="004153D4"/>
    <w:rsid w:val="00415984"/>
    <w:rsid w:val="004203B0"/>
    <w:rsid w:val="00420F30"/>
    <w:rsid w:val="004213E8"/>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670"/>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273"/>
    <w:rsid w:val="00466B8C"/>
    <w:rsid w:val="00466C97"/>
    <w:rsid w:val="00466EA6"/>
    <w:rsid w:val="00472034"/>
    <w:rsid w:val="00472D42"/>
    <w:rsid w:val="00472DCD"/>
    <w:rsid w:val="004735DF"/>
    <w:rsid w:val="0047428E"/>
    <w:rsid w:val="0047457E"/>
    <w:rsid w:val="004753DB"/>
    <w:rsid w:val="00475423"/>
    <w:rsid w:val="00477A12"/>
    <w:rsid w:val="004805DC"/>
    <w:rsid w:val="00481550"/>
    <w:rsid w:val="00482197"/>
    <w:rsid w:val="004826F7"/>
    <w:rsid w:val="00482F12"/>
    <w:rsid w:val="00486088"/>
    <w:rsid w:val="00486E81"/>
    <w:rsid w:val="00486EF1"/>
    <w:rsid w:val="00487029"/>
    <w:rsid w:val="004904F3"/>
    <w:rsid w:val="004927BE"/>
    <w:rsid w:val="00492BE0"/>
    <w:rsid w:val="00492BE2"/>
    <w:rsid w:val="00494721"/>
    <w:rsid w:val="00494FEE"/>
    <w:rsid w:val="0049526A"/>
    <w:rsid w:val="00495560"/>
    <w:rsid w:val="0049606C"/>
    <w:rsid w:val="00496A2B"/>
    <w:rsid w:val="0049748F"/>
    <w:rsid w:val="00497983"/>
    <w:rsid w:val="004A0637"/>
    <w:rsid w:val="004A064E"/>
    <w:rsid w:val="004A088C"/>
    <w:rsid w:val="004A1A45"/>
    <w:rsid w:val="004A1AE7"/>
    <w:rsid w:val="004A2698"/>
    <w:rsid w:val="004A2A3B"/>
    <w:rsid w:val="004A3692"/>
    <w:rsid w:val="004A60DD"/>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34BD"/>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4E79"/>
    <w:rsid w:val="004F54DE"/>
    <w:rsid w:val="004F5542"/>
    <w:rsid w:val="004F6182"/>
    <w:rsid w:val="004F62B5"/>
    <w:rsid w:val="004F64EF"/>
    <w:rsid w:val="004F6C52"/>
    <w:rsid w:val="004F79C9"/>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4C53"/>
    <w:rsid w:val="00515978"/>
    <w:rsid w:val="00516278"/>
    <w:rsid w:val="0051632E"/>
    <w:rsid w:val="00516799"/>
    <w:rsid w:val="00517D52"/>
    <w:rsid w:val="00520D98"/>
    <w:rsid w:val="005223D7"/>
    <w:rsid w:val="0052251B"/>
    <w:rsid w:val="00522E5D"/>
    <w:rsid w:val="00522EFA"/>
    <w:rsid w:val="00523013"/>
    <w:rsid w:val="00524079"/>
    <w:rsid w:val="00524EBC"/>
    <w:rsid w:val="0052541B"/>
    <w:rsid w:val="00525796"/>
    <w:rsid w:val="005263F0"/>
    <w:rsid w:val="00526750"/>
    <w:rsid w:val="00526FCD"/>
    <w:rsid w:val="00527204"/>
    <w:rsid w:val="00527527"/>
    <w:rsid w:val="005275C5"/>
    <w:rsid w:val="0052796F"/>
    <w:rsid w:val="00530C47"/>
    <w:rsid w:val="00530FBE"/>
    <w:rsid w:val="00531CAB"/>
    <w:rsid w:val="00533876"/>
    <w:rsid w:val="00534EB8"/>
    <w:rsid w:val="00535E7A"/>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2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5D10"/>
    <w:rsid w:val="00595EC8"/>
    <w:rsid w:val="00596975"/>
    <w:rsid w:val="00596BD1"/>
    <w:rsid w:val="0059799E"/>
    <w:rsid w:val="00597C01"/>
    <w:rsid w:val="005A0E14"/>
    <w:rsid w:val="005A0F66"/>
    <w:rsid w:val="005A1751"/>
    <w:rsid w:val="005A1B98"/>
    <w:rsid w:val="005A1DA3"/>
    <w:rsid w:val="005A2264"/>
    <w:rsid w:val="005A2649"/>
    <w:rsid w:val="005A29E8"/>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411B"/>
    <w:rsid w:val="00635A23"/>
    <w:rsid w:val="0063630F"/>
    <w:rsid w:val="00636965"/>
    <w:rsid w:val="006372C4"/>
    <w:rsid w:val="00641755"/>
    <w:rsid w:val="006429C6"/>
    <w:rsid w:val="00642AC8"/>
    <w:rsid w:val="006438F2"/>
    <w:rsid w:val="00644B8E"/>
    <w:rsid w:val="00645210"/>
    <w:rsid w:val="00645E46"/>
    <w:rsid w:val="0064622E"/>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A02"/>
    <w:rsid w:val="00672FE1"/>
    <w:rsid w:val="006800A8"/>
    <w:rsid w:val="006802B5"/>
    <w:rsid w:val="00681E18"/>
    <w:rsid w:val="00681F52"/>
    <w:rsid w:val="006835AA"/>
    <w:rsid w:val="00683AC0"/>
    <w:rsid w:val="00685ED1"/>
    <w:rsid w:val="00685F7E"/>
    <w:rsid w:val="00686732"/>
    <w:rsid w:val="006867F6"/>
    <w:rsid w:val="00686CD1"/>
    <w:rsid w:val="00691D4D"/>
    <w:rsid w:val="00692009"/>
    <w:rsid w:val="006924EB"/>
    <w:rsid w:val="00694CD2"/>
    <w:rsid w:val="006956BA"/>
    <w:rsid w:val="006957F9"/>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42A4"/>
    <w:rsid w:val="006E59D5"/>
    <w:rsid w:val="006E5BB6"/>
    <w:rsid w:val="006E631D"/>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49A"/>
    <w:rsid w:val="00707993"/>
    <w:rsid w:val="00711986"/>
    <w:rsid w:val="00713633"/>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1D6"/>
    <w:rsid w:val="00775869"/>
    <w:rsid w:val="00776169"/>
    <w:rsid w:val="00776747"/>
    <w:rsid w:val="00776D81"/>
    <w:rsid w:val="00776EB4"/>
    <w:rsid w:val="00777481"/>
    <w:rsid w:val="00780029"/>
    <w:rsid w:val="007815F9"/>
    <w:rsid w:val="00783EC3"/>
    <w:rsid w:val="00784E46"/>
    <w:rsid w:val="00786A87"/>
    <w:rsid w:val="00786ABB"/>
    <w:rsid w:val="00790ADA"/>
    <w:rsid w:val="00790BEB"/>
    <w:rsid w:val="00791374"/>
    <w:rsid w:val="007921CB"/>
    <w:rsid w:val="00792C42"/>
    <w:rsid w:val="007940CB"/>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95A"/>
    <w:rsid w:val="007A4EEA"/>
    <w:rsid w:val="007A54C1"/>
    <w:rsid w:val="007A557A"/>
    <w:rsid w:val="007A64C0"/>
    <w:rsid w:val="007A7031"/>
    <w:rsid w:val="007B0DAC"/>
    <w:rsid w:val="007B17F8"/>
    <w:rsid w:val="007B28BD"/>
    <w:rsid w:val="007B3897"/>
    <w:rsid w:val="007B5E23"/>
    <w:rsid w:val="007C007E"/>
    <w:rsid w:val="007C0262"/>
    <w:rsid w:val="007C0E59"/>
    <w:rsid w:val="007C16C9"/>
    <w:rsid w:val="007C259E"/>
    <w:rsid w:val="007C33F4"/>
    <w:rsid w:val="007C47AC"/>
    <w:rsid w:val="007C49DB"/>
    <w:rsid w:val="007C539D"/>
    <w:rsid w:val="007C5A7D"/>
    <w:rsid w:val="007C68DA"/>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A8"/>
    <w:rsid w:val="008206EF"/>
    <w:rsid w:val="00820EDD"/>
    <w:rsid w:val="00821093"/>
    <w:rsid w:val="008217BE"/>
    <w:rsid w:val="00821975"/>
    <w:rsid w:val="00822CA0"/>
    <w:rsid w:val="0082384F"/>
    <w:rsid w:val="008238DF"/>
    <w:rsid w:val="00825511"/>
    <w:rsid w:val="0082560B"/>
    <w:rsid w:val="00830875"/>
    <w:rsid w:val="00831A81"/>
    <w:rsid w:val="00832856"/>
    <w:rsid w:val="00833F0D"/>
    <w:rsid w:val="00837B2A"/>
    <w:rsid w:val="00837F34"/>
    <w:rsid w:val="00840781"/>
    <w:rsid w:val="00840D64"/>
    <w:rsid w:val="008434B7"/>
    <w:rsid w:val="00843DC0"/>
    <w:rsid w:val="00843E6F"/>
    <w:rsid w:val="008449EC"/>
    <w:rsid w:val="00844FFD"/>
    <w:rsid w:val="00845B4A"/>
    <w:rsid w:val="00846B8E"/>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E1C"/>
    <w:rsid w:val="00857FAD"/>
    <w:rsid w:val="00861334"/>
    <w:rsid w:val="00863061"/>
    <w:rsid w:val="008634C6"/>
    <w:rsid w:val="00863A9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5F38"/>
    <w:rsid w:val="008C678C"/>
    <w:rsid w:val="008D0798"/>
    <w:rsid w:val="008D0A11"/>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A52"/>
    <w:rsid w:val="00926C49"/>
    <w:rsid w:val="0092799F"/>
    <w:rsid w:val="009305D4"/>
    <w:rsid w:val="00930765"/>
    <w:rsid w:val="00934117"/>
    <w:rsid w:val="00934D25"/>
    <w:rsid w:val="00935611"/>
    <w:rsid w:val="009375EB"/>
    <w:rsid w:val="009407EA"/>
    <w:rsid w:val="009410EE"/>
    <w:rsid w:val="00941213"/>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4E92"/>
    <w:rsid w:val="0095747C"/>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5503"/>
    <w:rsid w:val="00986D1E"/>
    <w:rsid w:val="009875AC"/>
    <w:rsid w:val="009876A0"/>
    <w:rsid w:val="00987742"/>
    <w:rsid w:val="009904B4"/>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577D"/>
    <w:rsid w:val="009B609E"/>
    <w:rsid w:val="009B6DEE"/>
    <w:rsid w:val="009B7A5B"/>
    <w:rsid w:val="009C1250"/>
    <w:rsid w:val="009C12C5"/>
    <w:rsid w:val="009C2129"/>
    <w:rsid w:val="009C2943"/>
    <w:rsid w:val="009C55BA"/>
    <w:rsid w:val="009C67AE"/>
    <w:rsid w:val="009C6E30"/>
    <w:rsid w:val="009C6FA1"/>
    <w:rsid w:val="009C7D2B"/>
    <w:rsid w:val="009D0F63"/>
    <w:rsid w:val="009D132E"/>
    <w:rsid w:val="009D1583"/>
    <w:rsid w:val="009D1801"/>
    <w:rsid w:val="009D5373"/>
    <w:rsid w:val="009D54C7"/>
    <w:rsid w:val="009D5CDC"/>
    <w:rsid w:val="009D63EA"/>
    <w:rsid w:val="009D659F"/>
    <w:rsid w:val="009E0418"/>
    <w:rsid w:val="009E0790"/>
    <w:rsid w:val="009E4685"/>
    <w:rsid w:val="009E4990"/>
    <w:rsid w:val="009E65A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173B5"/>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50D26"/>
    <w:rsid w:val="00A512A0"/>
    <w:rsid w:val="00A517D0"/>
    <w:rsid w:val="00A51F10"/>
    <w:rsid w:val="00A533EF"/>
    <w:rsid w:val="00A543E9"/>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241"/>
    <w:rsid w:val="00A726BE"/>
    <w:rsid w:val="00A7297A"/>
    <w:rsid w:val="00A72EC3"/>
    <w:rsid w:val="00A738D3"/>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8EB"/>
    <w:rsid w:val="00AB2496"/>
    <w:rsid w:val="00AB2870"/>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4ABC"/>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8B1"/>
    <w:rsid w:val="00B678D1"/>
    <w:rsid w:val="00B67AED"/>
    <w:rsid w:val="00B67C2D"/>
    <w:rsid w:val="00B70890"/>
    <w:rsid w:val="00B714D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89E"/>
    <w:rsid w:val="00B841A9"/>
    <w:rsid w:val="00B86405"/>
    <w:rsid w:val="00B86A2C"/>
    <w:rsid w:val="00B9087C"/>
    <w:rsid w:val="00B90A29"/>
    <w:rsid w:val="00B9230D"/>
    <w:rsid w:val="00B93CEB"/>
    <w:rsid w:val="00B945B1"/>
    <w:rsid w:val="00B950E7"/>
    <w:rsid w:val="00B95B92"/>
    <w:rsid w:val="00B95BAD"/>
    <w:rsid w:val="00B95E27"/>
    <w:rsid w:val="00B975E1"/>
    <w:rsid w:val="00BA0E42"/>
    <w:rsid w:val="00BA0F9B"/>
    <w:rsid w:val="00BA100B"/>
    <w:rsid w:val="00BA13E6"/>
    <w:rsid w:val="00BA1AB1"/>
    <w:rsid w:val="00BA1C97"/>
    <w:rsid w:val="00BA3F40"/>
    <w:rsid w:val="00BA4890"/>
    <w:rsid w:val="00BA5E01"/>
    <w:rsid w:val="00BA5E5A"/>
    <w:rsid w:val="00BA6A35"/>
    <w:rsid w:val="00BB029B"/>
    <w:rsid w:val="00BB0A5B"/>
    <w:rsid w:val="00BB1AD2"/>
    <w:rsid w:val="00BB25B6"/>
    <w:rsid w:val="00BB5596"/>
    <w:rsid w:val="00BB5778"/>
    <w:rsid w:val="00BB580B"/>
    <w:rsid w:val="00BB762D"/>
    <w:rsid w:val="00BB7AAE"/>
    <w:rsid w:val="00BC26DE"/>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5DBE"/>
    <w:rsid w:val="00BE64AF"/>
    <w:rsid w:val="00BE7C43"/>
    <w:rsid w:val="00BF0295"/>
    <w:rsid w:val="00BF116A"/>
    <w:rsid w:val="00BF19D6"/>
    <w:rsid w:val="00BF321D"/>
    <w:rsid w:val="00BF3FFE"/>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78B4"/>
    <w:rsid w:val="00C17C45"/>
    <w:rsid w:val="00C20D4F"/>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156"/>
    <w:rsid w:val="00CA443C"/>
    <w:rsid w:val="00CA5314"/>
    <w:rsid w:val="00CA5420"/>
    <w:rsid w:val="00CB056F"/>
    <w:rsid w:val="00CB091C"/>
    <w:rsid w:val="00CB1531"/>
    <w:rsid w:val="00CB18E5"/>
    <w:rsid w:val="00CB1B5A"/>
    <w:rsid w:val="00CB20F7"/>
    <w:rsid w:val="00CB3603"/>
    <w:rsid w:val="00CB4E0B"/>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09A9"/>
    <w:rsid w:val="00D02BD8"/>
    <w:rsid w:val="00D03D73"/>
    <w:rsid w:val="00D04220"/>
    <w:rsid w:val="00D045EA"/>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2A3C"/>
    <w:rsid w:val="00D33771"/>
    <w:rsid w:val="00D3442C"/>
    <w:rsid w:val="00D35D36"/>
    <w:rsid w:val="00D36E24"/>
    <w:rsid w:val="00D373A4"/>
    <w:rsid w:val="00D42E67"/>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068B"/>
    <w:rsid w:val="00D712A2"/>
    <w:rsid w:val="00D714D5"/>
    <w:rsid w:val="00D72210"/>
    <w:rsid w:val="00D72CAF"/>
    <w:rsid w:val="00D73237"/>
    <w:rsid w:val="00D739EF"/>
    <w:rsid w:val="00D73EA5"/>
    <w:rsid w:val="00D74383"/>
    <w:rsid w:val="00D75C75"/>
    <w:rsid w:val="00D76079"/>
    <w:rsid w:val="00D76810"/>
    <w:rsid w:val="00D76D93"/>
    <w:rsid w:val="00D814A0"/>
    <w:rsid w:val="00D83361"/>
    <w:rsid w:val="00D84C7A"/>
    <w:rsid w:val="00D85DB8"/>
    <w:rsid w:val="00D871E3"/>
    <w:rsid w:val="00D8726A"/>
    <w:rsid w:val="00D90202"/>
    <w:rsid w:val="00D90B5B"/>
    <w:rsid w:val="00D91EB0"/>
    <w:rsid w:val="00D93302"/>
    <w:rsid w:val="00D96569"/>
    <w:rsid w:val="00D96E5B"/>
    <w:rsid w:val="00D970EC"/>
    <w:rsid w:val="00D97E7A"/>
    <w:rsid w:val="00DA0E04"/>
    <w:rsid w:val="00DA13D9"/>
    <w:rsid w:val="00DA318B"/>
    <w:rsid w:val="00DA49ED"/>
    <w:rsid w:val="00DA5D6A"/>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1FA"/>
    <w:rsid w:val="00DE28D9"/>
    <w:rsid w:val="00DE29BD"/>
    <w:rsid w:val="00DE2C29"/>
    <w:rsid w:val="00DE2FAA"/>
    <w:rsid w:val="00DE31F5"/>
    <w:rsid w:val="00DE4B29"/>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8C8"/>
    <w:rsid w:val="00E00A8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21076"/>
    <w:rsid w:val="00E21973"/>
    <w:rsid w:val="00E23427"/>
    <w:rsid w:val="00E2568F"/>
    <w:rsid w:val="00E25986"/>
    <w:rsid w:val="00E25D4B"/>
    <w:rsid w:val="00E26834"/>
    <w:rsid w:val="00E27AB6"/>
    <w:rsid w:val="00E307FF"/>
    <w:rsid w:val="00E30ADD"/>
    <w:rsid w:val="00E31861"/>
    <w:rsid w:val="00E33D31"/>
    <w:rsid w:val="00E342AC"/>
    <w:rsid w:val="00E35770"/>
    <w:rsid w:val="00E35FBE"/>
    <w:rsid w:val="00E363B4"/>
    <w:rsid w:val="00E37270"/>
    <w:rsid w:val="00E40494"/>
    <w:rsid w:val="00E423FB"/>
    <w:rsid w:val="00E43427"/>
    <w:rsid w:val="00E43AF7"/>
    <w:rsid w:val="00E43B9E"/>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054"/>
    <w:rsid w:val="00E73A68"/>
    <w:rsid w:val="00E73AF3"/>
    <w:rsid w:val="00E74362"/>
    <w:rsid w:val="00E746E0"/>
    <w:rsid w:val="00E755E6"/>
    <w:rsid w:val="00E757FD"/>
    <w:rsid w:val="00E75917"/>
    <w:rsid w:val="00E75A55"/>
    <w:rsid w:val="00E77D61"/>
    <w:rsid w:val="00E83421"/>
    <w:rsid w:val="00E83F9B"/>
    <w:rsid w:val="00E85409"/>
    <w:rsid w:val="00E857AD"/>
    <w:rsid w:val="00E859D0"/>
    <w:rsid w:val="00E8603C"/>
    <w:rsid w:val="00E910A0"/>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4355"/>
    <w:rsid w:val="00EB4E36"/>
    <w:rsid w:val="00EB6363"/>
    <w:rsid w:val="00EC0668"/>
    <w:rsid w:val="00EC169F"/>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23BD"/>
    <w:rsid w:val="00F04913"/>
    <w:rsid w:val="00F0612B"/>
    <w:rsid w:val="00F0617F"/>
    <w:rsid w:val="00F108A0"/>
    <w:rsid w:val="00F10A38"/>
    <w:rsid w:val="00F119E7"/>
    <w:rsid w:val="00F12922"/>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55F94"/>
    <w:rsid w:val="00F60E6F"/>
    <w:rsid w:val="00F612EB"/>
    <w:rsid w:val="00F6527B"/>
    <w:rsid w:val="00F66961"/>
    <w:rsid w:val="00F67E6C"/>
    <w:rsid w:val="00F70D43"/>
    <w:rsid w:val="00F72DDC"/>
    <w:rsid w:val="00F72E37"/>
    <w:rsid w:val="00F73016"/>
    <w:rsid w:val="00F73B6E"/>
    <w:rsid w:val="00F73D71"/>
    <w:rsid w:val="00F75C98"/>
    <w:rsid w:val="00F832A3"/>
    <w:rsid w:val="00F83B15"/>
    <w:rsid w:val="00F84850"/>
    <w:rsid w:val="00F84D19"/>
    <w:rsid w:val="00F85563"/>
    <w:rsid w:val="00F855C6"/>
    <w:rsid w:val="00F8608D"/>
    <w:rsid w:val="00F95FF4"/>
    <w:rsid w:val="00F96CE9"/>
    <w:rsid w:val="00F96F3A"/>
    <w:rsid w:val="00F97B5F"/>
    <w:rsid w:val="00FA0BC6"/>
    <w:rsid w:val="00FA22D0"/>
    <w:rsid w:val="00FA3D33"/>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59E7"/>
    <w:rsid w:val="00FF5F97"/>
    <w:rsid w:val="00FF7257"/>
    <w:rsid w:val="00FF752A"/>
    <w:rsid w:val="00FF7BD9"/>
    <w:rsid w:val="04353C9C"/>
    <w:rsid w:val="049623F8"/>
    <w:rsid w:val="04D06D42"/>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2FD97FDB"/>
    <w:rsid w:val="33940D54"/>
    <w:rsid w:val="33CE6340"/>
    <w:rsid w:val="35BD25C7"/>
    <w:rsid w:val="36576957"/>
    <w:rsid w:val="37672FB0"/>
    <w:rsid w:val="381C5B0D"/>
    <w:rsid w:val="3A891042"/>
    <w:rsid w:val="3A8F55CD"/>
    <w:rsid w:val="3B537E3D"/>
    <w:rsid w:val="3B9220C8"/>
    <w:rsid w:val="3FDF4CA5"/>
    <w:rsid w:val="40482E6A"/>
    <w:rsid w:val="44313E1C"/>
    <w:rsid w:val="463F2F6A"/>
    <w:rsid w:val="47C13C63"/>
    <w:rsid w:val="491739FA"/>
    <w:rsid w:val="4C7A73E0"/>
    <w:rsid w:val="4DDB6F48"/>
    <w:rsid w:val="4DF0361D"/>
    <w:rsid w:val="4E9F73FB"/>
    <w:rsid w:val="5172570A"/>
    <w:rsid w:val="52C771B4"/>
    <w:rsid w:val="53980F62"/>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 w:val="7F4C15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unhideWhenUsed/>
    <w:qFormat/>
    <w:uiPriority w:val="1"/>
  </w:style>
  <w:style w:type="table" w:default="1" w:styleId="18">
    <w:name w:val="Normal Table"/>
    <w:unhideWhenUsed/>
    <w:qFormat/>
    <w:uiPriority w:val="99"/>
    <w:tblPr>
      <w:tblStyle w:val="18"/>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29"/>
    <w:semiHidden/>
    <w:qFormat/>
    <w:uiPriority w:val="0"/>
    <w:rPr>
      <w:rFonts w:ascii="宋体"/>
      <w:kern w:val="0"/>
      <w:sz w:val="18"/>
      <w:szCs w:val="18"/>
    </w:rPr>
  </w:style>
  <w:style w:type="paragraph" w:styleId="6">
    <w:name w:val="annotation text"/>
    <w:basedOn w:val="1"/>
    <w:link w:val="30"/>
    <w:qFormat/>
    <w:uiPriority w:val="99"/>
    <w:pPr>
      <w:spacing w:line="460" w:lineRule="exact"/>
      <w:jc w:val="left"/>
    </w:pPr>
    <w:rPr>
      <w:rFonts w:ascii="Calibri" w:hAnsi="Calibri"/>
      <w:szCs w:val="21"/>
    </w:rPr>
  </w:style>
  <w:style w:type="paragraph" w:styleId="7">
    <w:name w:val="Body Text"/>
    <w:basedOn w:val="1"/>
    <w:link w:val="31"/>
    <w:qFormat/>
    <w:uiPriority w:val="0"/>
    <w:pPr>
      <w:spacing w:line="380" w:lineRule="exact"/>
    </w:pPr>
    <w:rPr>
      <w:rFonts w:eastAsia="仿宋_GB2312"/>
      <w:sz w:val="28"/>
      <w:szCs w:val="20"/>
    </w:rPr>
  </w:style>
  <w:style w:type="paragraph" w:styleId="8">
    <w:name w:val="Body Text Indent"/>
    <w:basedOn w:val="1"/>
    <w:link w:val="32"/>
    <w:qFormat/>
    <w:uiPriority w:val="0"/>
    <w:pPr>
      <w:spacing w:line="460" w:lineRule="exact"/>
      <w:ind w:firstLine="630"/>
    </w:pPr>
    <w:rPr>
      <w:rFonts w:ascii="仿宋_GB2312" w:eastAsia="仿宋_GB2312"/>
      <w:sz w:val="32"/>
      <w:szCs w:val="20"/>
    </w:rPr>
  </w:style>
  <w:style w:type="paragraph" w:styleId="9">
    <w:name w:val="Plain Text"/>
    <w:basedOn w:val="1"/>
    <w:link w:val="33"/>
    <w:qFormat/>
    <w:uiPriority w:val="0"/>
    <w:pPr>
      <w:spacing w:line="460" w:lineRule="exact"/>
    </w:pPr>
    <w:rPr>
      <w:rFonts w:ascii="宋体" w:hAnsi="Courier New"/>
      <w:szCs w:val="20"/>
    </w:rPr>
  </w:style>
  <w:style w:type="paragraph" w:styleId="10">
    <w:name w:val="Date"/>
    <w:basedOn w:val="1"/>
    <w:next w:val="1"/>
    <w:link w:val="34"/>
    <w:qFormat/>
    <w:uiPriority w:val="0"/>
    <w:pPr>
      <w:ind w:left="100" w:leftChars="2500"/>
    </w:pPr>
    <w:rPr>
      <w:kern w:val="0"/>
      <w:sz w:val="24"/>
    </w:rPr>
  </w:style>
  <w:style w:type="paragraph" w:styleId="11">
    <w:name w:val="Body Text Indent 2"/>
    <w:basedOn w:val="1"/>
    <w:link w:val="35"/>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36"/>
    <w:semiHidden/>
    <w:qFormat/>
    <w:uiPriority w:val="0"/>
    <w:rPr>
      <w:kern w:val="0"/>
      <w:sz w:val="18"/>
      <w:szCs w:val="18"/>
    </w:rPr>
  </w:style>
  <w:style w:type="paragraph" w:styleId="13">
    <w:name w:val="footer"/>
    <w:basedOn w:val="1"/>
    <w:link w:val="37"/>
    <w:qFormat/>
    <w:uiPriority w:val="99"/>
    <w:pPr>
      <w:tabs>
        <w:tab w:val="center" w:pos="4153"/>
        <w:tab w:val="right" w:pos="8306"/>
      </w:tabs>
      <w:snapToGrid w:val="0"/>
      <w:jc w:val="left"/>
    </w:pPr>
    <w:rPr>
      <w:kern w:val="0"/>
      <w:sz w:val="18"/>
      <w:szCs w:val="18"/>
    </w:rPr>
  </w:style>
  <w:style w:type="paragraph" w:styleId="14">
    <w:name w:val="header"/>
    <w:basedOn w:val="1"/>
    <w:link w:val="38"/>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39"/>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40"/>
    <w:semiHidden/>
    <w:qFormat/>
    <w:uiPriority w:val="0"/>
    <w:rPr>
      <w:b/>
      <w:bCs/>
    </w:rPr>
  </w:style>
  <w:style w:type="table" w:styleId="19">
    <w:name w:val="Table Grid"/>
    <w:basedOn w:val="18"/>
    <w:qFormat/>
    <w:uiPriority w:val="0"/>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character" w:customStyle="1" w:styleId="27">
    <w:name w:val="标题 1 字符"/>
    <w:link w:val="2"/>
    <w:qFormat/>
    <w:locked/>
    <w:uiPriority w:val="0"/>
    <w:rPr>
      <w:rFonts w:cs="Times New Roman"/>
      <w:b/>
      <w:bCs/>
      <w:kern w:val="44"/>
      <w:sz w:val="44"/>
      <w:szCs w:val="44"/>
    </w:rPr>
  </w:style>
  <w:style w:type="character" w:customStyle="1" w:styleId="28">
    <w:name w:val="标题 2 字符"/>
    <w:link w:val="3"/>
    <w:qFormat/>
    <w:locked/>
    <w:uiPriority w:val="0"/>
    <w:rPr>
      <w:rFonts w:ascii="宋体" w:eastAsia="宋体" w:cs="Times New Roman"/>
      <w:b/>
      <w:bCs/>
      <w:sz w:val="36"/>
      <w:szCs w:val="36"/>
    </w:rPr>
  </w:style>
  <w:style w:type="character" w:customStyle="1" w:styleId="29">
    <w:name w:val="文档结构图 字符"/>
    <w:link w:val="5"/>
    <w:qFormat/>
    <w:locked/>
    <w:uiPriority w:val="0"/>
    <w:rPr>
      <w:rFonts w:ascii="宋体" w:cs="Times New Roman"/>
      <w:sz w:val="18"/>
      <w:szCs w:val="18"/>
    </w:rPr>
  </w:style>
  <w:style w:type="character" w:customStyle="1" w:styleId="30">
    <w:name w:val="批注文字 字符"/>
    <w:link w:val="6"/>
    <w:qFormat/>
    <w:locked/>
    <w:uiPriority w:val="99"/>
    <w:rPr>
      <w:rFonts w:ascii="Calibri" w:hAnsi="Calibri" w:cs="Calibri"/>
      <w:kern w:val="2"/>
      <w:sz w:val="21"/>
      <w:szCs w:val="21"/>
    </w:rPr>
  </w:style>
  <w:style w:type="character" w:customStyle="1" w:styleId="31">
    <w:name w:val="正文文本 字符"/>
    <w:link w:val="7"/>
    <w:qFormat/>
    <w:locked/>
    <w:uiPriority w:val="0"/>
    <w:rPr>
      <w:rFonts w:eastAsia="仿宋_GB2312" w:cs="Times New Roman"/>
      <w:kern w:val="2"/>
      <w:sz w:val="28"/>
    </w:rPr>
  </w:style>
  <w:style w:type="character" w:customStyle="1" w:styleId="32">
    <w:name w:val="正文文本缩进 字符"/>
    <w:link w:val="8"/>
    <w:qFormat/>
    <w:locked/>
    <w:uiPriority w:val="0"/>
    <w:rPr>
      <w:rFonts w:ascii="仿宋_GB2312" w:eastAsia="仿宋_GB2312" w:cs="Times New Roman"/>
      <w:kern w:val="2"/>
      <w:sz w:val="32"/>
    </w:rPr>
  </w:style>
  <w:style w:type="character" w:customStyle="1" w:styleId="33">
    <w:name w:val="纯文本 字符"/>
    <w:link w:val="9"/>
    <w:qFormat/>
    <w:locked/>
    <w:uiPriority w:val="0"/>
    <w:rPr>
      <w:rFonts w:ascii="宋体" w:hAnsi="Courier New" w:cs="Times New Roman"/>
      <w:kern w:val="2"/>
      <w:sz w:val="21"/>
    </w:rPr>
  </w:style>
  <w:style w:type="character" w:customStyle="1" w:styleId="34">
    <w:name w:val="日期 字符"/>
    <w:link w:val="10"/>
    <w:qFormat/>
    <w:locked/>
    <w:uiPriority w:val="0"/>
    <w:rPr>
      <w:rFonts w:cs="Times New Roman"/>
      <w:sz w:val="24"/>
      <w:szCs w:val="24"/>
    </w:rPr>
  </w:style>
  <w:style w:type="character" w:customStyle="1" w:styleId="35">
    <w:name w:val="正文文本缩进 2 字符"/>
    <w:link w:val="11"/>
    <w:qFormat/>
    <w:locked/>
    <w:uiPriority w:val="0"/>
    <w:rPr>
      <w:rFonts w:ascii="仿宋_GB2312" w:eastAsia="仿宋_GB2312" w:cs="Times New Roman"/>
      <w:sz w:val="28"/>
    </w:rPr>
  </w:style>
  <w:style w:type="character" w:customStyle="1" w:styleId="36">
    <w:name w:val="批注框文本 字符"/>
    <w:link w:val="12"/>
    <w:qFormat/>
    <w:locked/>
    <w:uiPriority w:val="0"/>
    <w:rPr>
      <w:rFonts w:cs="Times New Roman"/>
      <w:sz w:val="18"/>
      <w:szCs w:val="18"/>
    </w:rPr>
  </w:style>
  <w:style w:type="character" w:customStyle="1" w:styleId="37">
    <w:name w:val="页脚 字符"/>
    <w:link w:val="13"/>
    <w:qFormat/>
    <w:locked/>
    <w:uiPriority w:val="99"/>
    <w:rPr>
      <w:rFonts w:cs="Times New Roman"/>
      <w:sz w:val="18"/>
      <w:szCs w:val="18"/>
    </w:rPr>
  </w:style>
  <w:style w:type="character" w:customStyle="1" w:styleId="38">
    <w:name w:val="页眉 字符"/>
    <w:link w:val="14"/>
    <w:qFormat/>
    <w:locked/>
    <w:uiPriority w:val="0"/>
    <w:rPr>
      <w:rFonts w:cs="Times New Roman"/>
      <w:sz w:val="18"/>
      <w:szCs w:val="18"/>
    </w:rPr>
  </w:style>
  <w:style w:type="character" w:customStyle="1" w:styleId="39">
    <w:name w:val="正文文本缩进 3 字符"/>
    <w:link w:val="15"/>
    <w:qFormat/>
    <w:locked/>
    <w:uiPriority w:val="0"/>
    <w:rPr>
      <w:rFonts w:ascii="宋体" w:eastAsia="宋体" w:cs="Times New Roman"/>
      <w:sz w:val="21"/>
      <w:szCs w:val="21"/>
    </w:rPr>
  </w:style>
  <w:style w:type="character" w:customStyle="1" w:styleId="40">
    <w:name w:val="批注主题 字符"/>
    <w:link w:val="17"/>
    <w:semiHidden/>
    <w:qFormat/>
    <w:locked/>
    <w:uiPriority w:val="0"/>
    <w:rPr>
      <w:rFonts w:ascii="Calibri" w:hAnsi="Calibri" w:cs="Calibri"/>
      <w:b/>
      <w:bCs/>
      <w:kern w:val="2"/>
      <w:sz w:val="21"/>
      <w:szCs w:val="21"/>
    </w:rPr>
  </w:style>
  <w:style w:type="paragraph" w:customStyle="1" w:styleId="41">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42">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43">
    <w:name w:val="修订1"/>
    <w:qFormat/>
    <w:uiPriority w:val="0"/>
    <w:rPr>
      <w:rFonts w:ascii="Times New Roman" w:hAnsi="Times New Roman" w:eastAsia="宋体" w:cs="Times New Roman"/>
      <w:kern w:val="2"/>
      <w:sz w:val="21"/>
      <w:szCs w:val="24"/>
      <w:lang w:val="en-US" w:eastAsia="zh-CN" w:bidi="ar-SA"/>
    </w:rPr>
  </w:style>
  <w:style w:type="paragraph" w:customStyle="1" w:styleId="44">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45">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46">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7">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48">
    <w:name w:val="列出段落1"/>
    <w:basedOn w:val="1"/>
    <w:qFormat/>
    <w:uiPriority w:val="0"/>
    <w:pPr>
      <w:ind w:firstLine="420" w:firstLineChars="200"/>
    </w:pPr>
  </w:style>
  <w:style w:type="paragraph" w:customStyle="1" w:styleId="49">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50">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51">
    <w:name w:val="edited2"/>
    <w:qFormat/>
    <w:uiPriority w:val="0"/>
    <w:rPr>
      <w:rFonts w:cs="Times New Roman"/>
    </w:rPr>
  </w:style>
  <w:style w:type="character" w:customStyle="1" w:styleId="52">
    <w:name w:val="high-light-bg4"/>
    <w:qFormat/>
    <w:uiPriority w:val="0"/>
    <w:rPr>
      <w:rFonts w:cs="Times New Roman"/>
    </w:rPr>
  </w:style>
  <w:style w:type="character" w:customStyle="1" w:styleId="53">
    <w:name w:val="unnamed2"/>
    <w:qFormat/>
    <w:uiPriority w:val="0"/>
    <w:rPr>
      <w:rFonts w:cs="Times New Roman"/>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Calibri" w:hAnsi="Calibri" w:eastAsia="宋体" w:cs="Times New Roman"/>
      <w:szCs w:val="22"/>
    </w:rPr>
  </w:style>
  <w:style w:type="paragraph" w:customStyle="1" w:styleId="57">
    <w:name w:val="修订3"/>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16819</Words>
  <Characters>18363</Characters>
  <Lines>138</Lines>
  <Paragraphs>38</Paragraphs>
  <TotalTime>2</TotalTime>
  <ScaleCrop>false</ScaleCrop>
  <LinksUpToDate>false</LinksUpToDate>
  <CharactersWithSpaces>18383</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2023-03-14T14:34:00Z</dcterms:created>
  <dc:creator>kongjian</dc:creator>
  <cp:lastModifiedBy>user</cp:lastModifiedBy>
  <cp:lastPrinted>2023-03-31T10:17:54Z</cp:lastPrinted>
  <dcterms:modified xsi:type="dcterms:W3CDTF">2023-04-04T16:29:30Z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2160B9BAA3B949BC92F013749B6EB9E2</vt:lpwstr>
  </property>
</Properties>
</file>